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A4981" w14:textId="77777777" w:rsidR="00E80CE0" w:rsidRPr="00631019" w:rsidRDefault="00E80CE0" w:rsidP="005A7021">
      <w:pPr>
        <w:spacing w:line="360" w:lineRule="auto"/>
        <w:jc w:val="center"/>
        <w:rPr>
          <w:rFonts w:ascii="Times New Roman" w:hAnsi="Times New Roman" w:cs="Times New Roman"/>
          <w:sz w:val="24"/>
          <w:szCs w:val="24"/>
        </w:rPr>
      </w:pPr>
      <w:r w:rsidRPr="00631019">
        <w:rPr>
          <w:rFonts w:ascii="Times New Roman" w:hAnsi="Times New Roman" w:cs="Times New Roman"/>
          <w:b/>
          <w:bCs/>
          <w:sz w:val="24"/>
          <w:szCs w:val="24"/>
        </w:rPr>
        <w:t>Promoción ambiental y reciclaje inclusivo: sistematización de una experiencia piloto de recolección diferenciada en Santiago del Estero</w:t>
      </w:r>
    </w:p>
    <w:p w14:paraId="38F2992E" w14:textId="77777777" w:rsidR="00E80CE0" w:rsidRPr="00631019" w:rsidRDefault="00E80CE0" w:rsidP="005E1222">
      <w:pPr>
        <w:spacing w:line="360" w:lineRule="auto"/>
        <w:jc w:val="both"/>
        <w:rPr>
          <w:rFonts w:ascii="Times New Roman" w:hAnsi="Times New Roman" w:cs="Times New Roman"/>
          <w:sz w:val="24"/>
          <w:szCs w:val="24"/>
        </w:rPr>
      </w:pPr>
    </w:p>
    <w:p w14:paraId="4DEB3FD8" w14:textId="77777777" w:rsidR="00E80CE0" w:rsidRPr="00A10958" w:rsidRDefault="00E80CE0" w:rsidP="005E1222">
      <w:pPr>
        <w:spacing w:line="360" w:lineRule="auto"/>
        <w:jc w:val="right"/>
        <w:rPr>
          <w:rFonts w:ascii="Times New Roman" w:hAnsi="Times New Roman" w:cs="Times New Roman"/>
          <w:sz w:val="24"/>
          <w:szCs w:val="24"/>
        </w:rPr>
      </w:pPr>
      <w:r w:rsidRPr="00A10958">
        <w:rPr>
          <w:rFonts w:ascii="Times New Roman" w:hAnsi="Times New Roman" w:cs="Times New Roman"/>
          <w:sz w:val="24"/>
          <w:szCs w:val="24"/>
        </w:rPr>
        <w:t>Acosta, Silvia Beatriz</w:t>
      </w:r>
    </w:p>
    <w:p w14:paraId="4A0063AE" w14:textId="7777777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Estudiante de Lic. en Ecología y Conservación del Ambiente, FCF-UNSE</w:t>
      </w:r>
    </w:p>
    <w:p w14:paraId="035DD248" w14:textId="7777777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Técnica de CORESA</w:t>
      </w:r>
    </w:p>
    <w:p w14:paraId="4F591D36" w14:textId="28C28BD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Santiago del Estero, Argentina</w:t>
      </w:r>
    </w:p>
    <w:p w14:paraId="4ADCA007" w14:textId="3D826B3F" w:rsidR="00E80CE0"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silacostamterural@gmail.com</w:t>
      </w:r>
    </w:p>
    <w:p w14:paraId="0CF3FDC5" w14:textId="77777777" w:rsidR="00E80CE0" w:rsidRPr="00A10958" w:rsidRDefault="00E80CE0" w:rsidP="005E1222">
      <w:pPr>
        <w:spacing w:line="360" w:lineRule="auto"/>
        <w:jc w:val="right"/>
        <w:rPr>
          <w:rFonts w:ascii="Times New Roman" w:hAnsi="Times New Roman" w:cs="Times New Roman"/>
          <w:sz w:val="24"/>
          <w:szCs w:val="24"/>
        </w:rPr>
      </w:pPr>
      <w:r w:rsidRPr="00A10958">
        <w:rPr>
          <w:rFonts w:ascii="Times New Roman" w:hAnsi="Times New Roman" w:cs="Times New Roman"/>
          <w:sz w:val="24"/>
          <w:szCs w:val="24"/>
        </w:rPr>
        <w:t>Pintos, María Soledad</w:t>
      </w:r>
    </w:p>
    <w:p w14:paraId="793CB6ED" w14:textId="7777777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Estudiante de Lic. en Ecología y Conservación del Ambiente, FCF-UNSE</w:t>
      </w:r>
    </w:p>
    <w:p w14:paraId="78052737" w14:textId="78BE508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Técnica de CORESA</w:t>
      </w:r>
    </w:p>
    <w:p w14:paraId="65A458F7" w14:textId="7777777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Santiago del Estero, Argentina</w:t>
      </w:r>
    </w:p>
    <w:p w14:paraId="1B6BE433" w14:textId="794BA275" w:rsidR="00E80CE0"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soledadm.pintos@gmail.com</w:t>
      </w:r>
    </w:p>
    <w:p w14:paraId="151E3346" w14:textId="77777777" w:rsidR="00E80CE0" w:rsidRPr="00A10958" w:rsidRDefault="00E80CE0" w:rsidP="005E1222">
      <w:pPr>
        <w:spacing w:line="360" w:lineRule="auto"/>
        <w:jc w:val="right"/>
        <w:rPr>
          <w:rFonts w:ascii="Times New Roman" w:hAnsi="Times New Roman" w:cs="Times New Roman"/>
          <w:sz w:val="24"/>
          <w:szCs w:val="24"/>
        </w:rPr>
      </w:pPr>
      <w:r w:rsidRPr="00A10958">
        <w:rPr>
          <w:rFonts w:ascii="Times New Roman" w:hAnsi="Times New Roman" w:cs="Times New Roman"/>
          <w:sz w:val="24"/>
          <w:szCs w:val="24"/>
        </w:rPr>
        <w:t>Mazur, María Yisell</w:t>
      </w:r>
    </w:p>
    <w:p w14:paraId="583540AA" w14:textId="77777777" w:rsidR="00E01979"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Lic. en Ecología y Conservación del Ambiente, FCF-UNSE</w:t>
      </w:r>
    </w:p>
    <w:p w14:paraId="278310DD"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Profesora Adjunta, Cátedra Desarrollo Sostenible, Facultad de Ciencias Económicas, Universidad Católica de Santiago del Estero</w:t>
      </w:r>
    </w:p>
    <w:p w14:paraId="6B635E8C"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Técnica de CORESA</w:t>
      </w:r>
    </w:p>
    <w:p w14:paraId="2BC3F813"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Santiago del Estero, Argentina</w:t>
      </w:r>
    </w:p>
    <w:p w14:paraId="62E24349" w14:textId="4EF86EEA" w:rsidR="00E80CE0"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mariayisell.mazur@ucse.edu.ar</w:t>
      </w:r>
    </w:p>
    <w:p w14:paraId="1D3C3D4F" w14:textId="77777777" w:rsidR="00E80CE0" w:rsidRPr="00A10958" w:rsidRDefault="00E80CE0" w:rsidP="005E1222">
      <w:pPr>
        <w:spacing w:line="360" w:lineRule="auto"/>
        <w:jc w:val="right"/>
        <w:rPr>
          <w:rFonts w:ascii="Times New Roman" w:hAnsi="Times New Roman" w:cs="Times New Roman"/>
          <w:sz w:val="24"/>
          <w:szCs w:val="24"/>
        </w:rPr>
      </w:pPr>
      <w:r w:rsidRPr="00A10958">
        <w:rPr>
          <w:rFonts w:ascii="Times New Roman" w:hAnsi="Times New Roman" w:cs="Times New Roman"/>
          <w:sz w:val="24"/>
          <w:szCs w:val="24"/>
        </w:rPr>
        <w:t>Marelli, Silvia Elizabeth</w:t>
      </w:r>
    </w:p>
    <w:p w14:paraId="111AFB40"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Lic. en Ecología y Conservación del Ambiente</w:t>
      </w:r>
    </w:p>
    <w:p w14:paraId="2CE18A3A"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Maestrando en Ambiente y Desarrollo Sustentable, UNQ; Doctorando en Cs. Ambientales, UNSAM; INDES-</w:t>
      </w:r>
      <w:proofErr w:type="spellStart"/>
      <w:r w:rsidRPr="00631019">
        <w:rPr>
          <w:rFonts w:ascii="Times New Roman" w:hAnsi="Times New Roman" w:cs="Times New Roman"/>
          <w:sz w:val="24"/>
          <w:szCs w:val="24"/>
        </w:rPr>
        <w:t>FHCSyS</w:t>
      </w:r>
      <w:proofErr w:type="spellEnd"/>
      <w:r w:rsidRPr="00631019">
        <w:rPr>
          <w:rFonts w:ascii="Times New Roman" w:hAnsi="Times New Roman" w:cs="Times New Roman"/>
          <w:sz w:val="24"/>
          <w:szCs w:val="24"/>
        </w:rPr>
        <w:t>-UNSE-CONICET</w:t>
      </w:r>
    </w:p>
    <w:p w14:paraId="22197B90"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Técnica de CORESA</w:t>
      </w:r>
    </w:p>
    <w:p w14:paraId="066E7120"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lastRenderedPageBreak/>
        <w:t>Santiago del Estero, Argentina</w:t>
      </w:r>
    </w:p>
    <w:p w14:paraId="7F6E9E06" w14:textId="51E983B4" w:rsidR="00E80CE0"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escritosmse@gmail.com</w:t>
      </w:r>
    </w:p>
    <w:p w14:paraId="51B15B71" w14:textId="77777777" w:rsidR="00E80CE0" w:rsidRPr="00A10958" w:rsidRDefault="00E80CE0" w:rsidP="005E1222">
      <w:pPr>
        <w:spacing w:line="360" w:lineRule="auto"/>
        <w:jc w:val="right"/>
        <w:rPr>
          <w:rFonts w:ascii="Times New Roman" w:hAnsi="Times New Roman" w:cs="Times New Roman"/>
          <w:sz w:val="24"/>
          <w:szCs w:val="24"/>
        </w:rPr>
      </w:pPr>
      <w:r w:rsidRPr="00A10958">
        <w:rPr>
          <w:rFonts w:ascii="Times New Roman" w:hAnsi="Times New Roman" w:cs="Times New Roman"/>
          <w:sz w:val="24"/>
          <w:szCs w:val="24"/>
        </w:rPr>
        <w:t>Sarmiento, Miguel Ángel</w:t>
      </w:r>
    </w:p>
    <w:p w14:paraId="1BE42BD1"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Profesor Adjunto, Cátedra de Economía y Administración Forestal, Facultad de Ciencias Forestales, Instituto de Tecnología de la Madera (ITM), Universidad Nacional de Santiago del Estero</w:t>
      </w:r>
    </w:p>
    <w:p w14:paraId="7802F0ED" w14:textId="77777777" w:rsidR="000426AF"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Santiago del Estero, Argentina</w:t>
      </w:r>
    </w:p>
    <w:p w14:paraId="16014246" w14:textId="7DE93E2B" w:rsidR="00E80CE0" w:rsidRPr="00631019" w:rsidRDefault="00E80CE0" w:rsidP="005E1222">
      <w:pPr>
        <w:spacing w:line="360" w:lineRule="auto"/>
        <w:jc w:val="right"/>
        <w:rPr>
          <w:rFonts w:ascii="Times New Roman" w:hAnsi="Times New Roman" w:cs="Times New Roman"/>
          <w:sz w:val="24"/>
          <w:szCs w:val="24"/>
        </w:rPr>
      </w:pPr>
      <w:r w:rsidRPr="00631019">
        <w:rPr>
          <w:rFonts w:ascii="Times New Roman" w:hAnsi="Times New Roman" w:cs="Times New Roman"/>
          <w:sz w:val="24"/>
          <w:szCs w:val="24"/>
        </w:rPr>
        <w:t>sarmig@gmail.com</w:t>
      </w:r>
    </w:p>
    <w:p w14:paraId="495831E0"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b/>
          <w:bCs/>
          <w:sz w:val="24"/>
          <w:szCs w:val="24"/>
        </w:rPr>
        <w:t>Resumen</w:t>
      </w:r>
    </w:p>
    <w:p w14:paraId="061CC307" w14:textId="1898FB94" w:rsidR="000426AF" w:rsidRPr="00631019" w:rsidRDefault="000426AF"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implementación de sistemas de recolección diferenciada requiere estrategias de promoción ambiental que favorezcan la participación comunitaria y la separación en origen. Las promotoras ambientales cartoneras constituyen un actor clave para fortalecer el vínculo entre la comunidad y sistemas de reciclaje inclusivo.</w:t>
      </w:r>
    </w:p>
    <w:p w14:paraId="18729C0B" w14:textId="3D664D5F" w:rsidR="000426AF" w:rsidRPr="00631019" w:rsidRDefault="000426AF"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Este trabajo sistematiza la experiencia de promoción ambiental cartonera desarrollada en el Programa Ruta Verde, implementado en el barrio Cabildo de Santiago del Estero durante el primer semestre de 2021. La iniciativa incorporó a mujeres cartoneras como promotoras ambientales, quienes asumieron un rol central en la sensibilización y puesta en marcha del servicio de recolección diferenciada.</w:t>
      </w:r>
    </w:p>
    <w:p w14:paraId="7FD903D2" w14:textId="02F351F4" w:rsidR="000426AF" w:rsidRPr="00631019" w:rsidRDefault="000426AF"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investigación adoptó un enfoque cualitativo, combinando Investigación-Acción Participativa con la sistematización de experiencias. El proceso incluyó diagnóstico territorial, planificación de recorridos, elaboración colectiva de herramientas de intervención, visitas domiciliarias y registro de acciones, adecuadas a los protocolos sanitarios durante la pandemia.</w:t>
      </w:r>
    </w:p>
    <w:p w14:paraId="43748779" w14:textId="77777777" w:rsidR="000426AF" w:rsidRPr="00631019" w:rsidRDefault="000426AF"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Entre los resultados se destacan la consolidación del rol de las promotoras, el diseño de herramientas territoriales y la incorporación de 268 hogares al servicio. La experiencia evidencia que la promoción ambiental desarrollada por mujeres cartoneras fortalece el reciclaje inclusivo, amplía el reconocimiento social de las recuperadoras urbanas y promueve la participación ciudadana en la gestión de residuos sólidos urbanos.</w:t>
      </w:r>
    </w:p>
    <w:p w14:paraId="62545C15" w14:textId="5F6C9BA5"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b/>
          <w:bCs/>
          <w:sz w:val="24"/>
          <w:szCs w:val="24"/>
        </w:rPr>
        <w:t>Palabras clave:</w:t>
      </w:r>
      <w:r w:rsidRPr="00631019">
        <w:rPr>
          <w:rFonts w:ascii="Times New Roman" w:hAnsi="Times New Roman" w:cs="Times New Roman"/>
          <w:sz w:val="24"/>
          <w:szCs w:val="24"/>
        </w:rPr>
        <w:t xml:space="preserve"> promoción ambiental</w:t>
      </w:r>
      <w:r w:rsidR="00735E7D" w:rsidRPr="00631019">
        <w:rPr>
          <w:rFonts w:ascii="Times New Roman" w:hAnsi="Times New Roman" w:cs="Times New Roman"/>
          <w:sz w:val="24"/>
          <w:szCs w:val="24"/>
        </w:rPr>
        <w:t>,</w:t>
      </w:r>
      <w:r w:rsidRPr="00631019">
        <w:rPr>
          <w:rFonts w:ascii="Times New Roman" w:hAnsi="Times New Roman" w:cs="Times New Roman"/>
          <w:sz w:val="24"/>
          <w:szCs w:val="24"/>
        </w:rPr>
        <w:t xml:space="preserve"> reciclaje inclusivo</w:t>
      </w:r>
      <w:r w:rsidR="00735E7D" w:rsidRPr="00631019">
        <w:rPr>
          <w:rFonts w:ascii="Times New Roman" w:hAnsi="Times New Roman" w:cs="Times New Roman"/>
          <w:sz w:val="24"/>
          <w:szCs w:val="24"/>
        </w:rPr>
        <w:t xml:space="preserve">, </w:t>
      </w:r>
      <w:r w:rsidRPr="00631019">
        <w:rPr>
          <w:rFonts w:ascii="Times New Roman" w:hAnsi="Times New Roman" w:cs="Times New Roman"/>
          <w:sz w:val="24"/>
          <w:szCs w:val="24"/>
        </w:rPr>
        <w:t>participación comunitaria.</w:t>
      </w:r>
    </w:p>
    <w:p w14:paraId="595D8757"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Introducción</w:t>
      </w:r>
    </w:p>
    <w:p w14:paraId="741DFC27"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La implementación de sistemas de recolección diferenciada constituye uno de los principales desafíos para avanzar hacia modelos de gestión integral de residuos con enfoque de economía circular. Sin </w:t>
      </w:r>
      <w:r w:rsidRPr="00631019">
        <w:rPr>
          <w:rFonts w:ascii="Times New Roman" w:hAnsi="Times New Roman" w:cs="Times New Roman"/>
          <w:sz w:val="24"/>
          <w:szCs w:val="24"/>
        </w:rPr>
        <w:lastRenderedPageBreak/>
        <w:t>embargo, su funcionamiento no depende únicamente de la disponibilidad de infraestructura o de circuitos de recolección, sino también de la participación activa de la comunidad en la separación en origen y la correcta disposición de los materiales reciclables. En este escenario, la promoción ambiental se convierte en una estrategia fundamental para fortalecer el vínculo entre la ciudadanía y los sistemas de reciclaje, favoreciendo procesos de educación ambiental, sensibilización comunitaria y cambios sostenidos en los hábitos de gestión de los residuos.</w:t>
      </w:r>
    </w:p>
    <w:p w14:paraId="3D5F656B" w14:textId="35DA232E"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En Argentina, distintas experiencias han incorporado la figura de las promotoras ambientales </w:t>
      </w:r>
      <w:r w:rsidR="00735E7D" w:rsidRPr="00631019">
        <w:rPr>
          <w:rFonts w:ascii="Times New Roman" w:hAnsi="Times New Roman" w:cs="Times New Roman"/>
          <w:sz w:val="24"/>
          <w:szCs w:val="24"/>
        </w:rPr>
        <w:t xml:space="preserve">cartoneras </w:t>
      </w:r>
      <w:r w:rsidRPr="00631019">
        <w:rPr>
          <w:rFonts w:ascii="Times New Roman" w:hAnsi="Times New Roman" w:cs="Times New Roman"/>
          <w:sz w:val="24"/>
          <w:szCs w:val="24"/>
        </w:rPr>
        <w:t>como un actor clave para fortalecer estos procesos. Puricelli (2017), al analizar el Programa de Promotoras Ambientales de la Ciudad de Buenos Aires, señala que este rol contribuye a vincular a la ciudadanía con los sistemas de recuperación de residuos mediante acciones de sensibilización, comunicación comunitaria y acompañamiento territorial. En la misma línea, López (2025) destaca que la experiencia de las promotoras ambientales cartoneras en la ciudad de La Plata no solo favoreció la separación en origen de los residuos reciclables, sino que también fortaleció el reconocimiento social y político de las recuperadoras urbanas, ampliando su participación dentro de las políticas públicas de gestión de residuos.</w:t>
      </w:r>
    </w:p>
    <w:p w14:paraId="0FC2A074" w14:textId="2843C7AC"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En este contexto, el Programa Ruta Verde, impulsado por CORESA (Comunidad</w:t>
      </w:r>
      <w:r w:rsidR="00735E7D" w:rsidRPr="00631019">
        <w:rPr>
          <w:rFonts w:ascii="Times New Roman" w:hAnsi="Times New Roman" w:cs="Times New Roman"/>
          <w:sz w:val="24"/>
          <w:szCs w:val="24"/>
        </w:rPr>
        <w:t xml:space="preserve"> de</w:t>
      </w:r>
      <w:r w:rsidRPr="00631019">
        <w:rPr>
          <w:rFonts w:ascii="Times New Roman" w:hAnsi="Times New Roman" w:cs="Times New Roman"/>
          <w:sz w:val="24"/>
          <w:szCs w:val="24"/>
        </w:rPr>
        <w:t xml:space="preserve"> Recuperadores Santiagueños)</w:t>
      </w:r>
      <w:r w:rsidRPr="00631019">
        <w:rPr>
          <w:rFonts w:ascii="Times New Roman" w:hAnsi="Times New Roman" w:cs="Times New Roman"/>
          <w:b/>
          <w:bCs/>
          <w:sz w:val="24"/>
          <w:szCs w:val="24"/>
        </w:rPr>
        <w:t>,</w:t>
      </w:r>
      <w:r w:rsidRPr="00631019">
        <w:rPr>
          <w:rFonts w:ascii="Times New Roman" w:hAnsi="Times New Roman" w:cs="Times New Roman"/>
          <w:sz w:val="24"/>
          <w:szCs w:val="24"/>
        </w:rPr>
        <w:t xml:space="preserve"> organización perteneciente al Movimiento de Trabajadores Excluidos (MTE), implementó una experiencia piloto de promoción ambiental </w:t>
      </w:r>
      <w:r w:rsidR="00735E7D" w:rsidRPr="00631019">
        <w:rPr>
          <w:rFonts w:ascii="Times New Roman" w:hAnsi="Times New Roman" w:cs="Times New Roman"/>
          <w:sz w:val="24"/>
          <w:szCs w:val="24"/>
        </w:rPr>
        <w:t xml:space="preserve">cartonera </w:t>
      </w:r>
      <w:r w:rsidRPr="00631019">
        <w:rPr>
          <w:rFonts w:ascii="Times New Roman" w:hAnsi="Times New Roman" w:cs="Times New Roman"/>
          <w:sz w:val="24"/>
          <w:szCs w:val="24"/>
        </w:rPr>
        <w:t>en el barrio Cabildo de la ciudad de Santiago del Estero. La propuesta concibió la promoción ambiental como una estrategia para fortalecer la participación comunitaria en la separación en origen y consolidar un sistema de recolección diferenciada con inclusión social, incorporando a mujeres cartoneras como promotoras ambientales y protagonistas del proceso de sensibilización territorial. Para ello, se desarrollaron instancias de formación, planificación participativa, elaboración colectiva de herramientas de trabajo y recorridos territoriales destinados a promover la incorporación de los hogares al servicio comunitario de recolección diferenciada.</w:t>
      </w:r>
    </w:p>
    <w:p w14:paraId="389228CE"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El presente trabajo tiene como objetivo sistematizar esta experiencia, reconstruyendo las principales estrategias implementadas, los aprendizajes generados y los resultados obtenidos durante el desarrollo del programa. Se busca aportar evidencias sobre el potencial de la promoción ambiental desarrollada por mujeres cartoneras para fortalecer el reciclaje inclusivo y la participación comunitaria, contribuyendo al debate sobre nuevas formas de gestión integral de residuos con inclusión social y poniendo en valor el papel de las organizaciones de recuperadores urbanos en la construcción de sistemas locales de reciclaje.</w:t>
      </w:r>
    </w:p>
    <w:p w14:paraId="5A34362F"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lastRenderedPageBreak/>
        <w:t>Desarrollo</w:t>
      </w:r>
    </w:p>
    <w:p w14:paraId="200F90A1"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i/>
          <w:iCs/>
          <w:sz w:val="24"/>
          <w:szCs w:val="24"/>
        </w:rPr>
        <w:t>Metodología</w:t>
      </w:r>
    </w:p>
    <w:p w14:paraId="102C2504"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presente investigación se desarrolló desde un enfoque cualitativo, articulando la Investigación-Acción Participativa con la metodología de sistematización de experiencias. Este enfoque permitió acompañar el proceso de diseño e implementación del Programa Ruta Verde y, posteriormente, reconstruir de manera crítica los aprendizajes, estrategias y resultados generados durante la experiencia.</w:t>
      </w:r>
    </w:p>
    <w:p w14:paraId="0894CA98" w14:textId="3B7F50B5"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experiencia se llevó a cabo durante el primer semestre de 2021 en el barrio Cabildo de la ciudad de Santiago del Estero, en el marco del Programa Ruta Verde, impulsado por</w:t>
      </w:r>
      <w:r w:rsidR="00735E7D" w:rsidRPr="00631019">
        <w:rPr>
          <w:rFonts w:ascii="Times New Roman" w:hAnsi="Times New Roman" w:cs="Times New Roman"/>
          <w:sz w:val="24"/>
          <w:szCs w:val="24"/>
        </w:rPr>
        <w:t xml:space="preserve"> la </w:t>
      </w:r>
      <w:r w:rsidRPr="00631019">
        <w:rPr>
          <w:rFonts w:ascii="Times New Roman" w:hAnsi="Times New Roman" w:cs="Times New Roman"/>
          <w:sz w:val="24"/>
          <w:szCs w:val="24"/>
        </w:rPr>
        <w:t>Comunidad</w:t>
      </w:r>
      <w:r w:rsidR="00735E7D" w:rsidRPr="00631019">
        <w:rPr>
          <w:rFonts w:ascii="Times New Roman" w:hAnsi="Times New Roman" w:cs="Times New Roman"/>
          <w:sz w:val="24"/>
          <w:szCs w:val="24"/>
        </w:rPr>
        <w:t xml:space="preserve"> de</w:t>
      </w:r>
      <w:r w:rsidRPr="00631019">
        <w:rPr>
          <w:rFonts w:ascii="Times New Roman" w:hAnsi="Times New Roman" w:cs="Times New Roman"/>
          <w:sz w:val="24"/>
          <w:szCs w:val="24"/>
        </w:rPr>
        <w:t xml:space="preserve"> Recuperador</w:t>
      </w:r>
      <w:r w:rsidR="00735E7D" w:rsidRPr="00631019">
        <w:rPr>
          <w:rFonts w:ascii="Times New Roman" w:hAnsi="Times New Roman" w:cs="Times New Roman"/>
          <w:sz w:val="24"/>
          <w:szCs w:val="24"/>
        </w:rPr>
        <w:t>es</w:t>
      </w:r>
      <w:r w:rsidRPr="00631019">
        <w:rPr>
          <w:rFonts w:ascii="Times New Roman" w:hAnsi="Times New Roman" w:cs="Times New Roman"/>
          <w:sz w:val="24"/>
          <w:szCs w:val="24"/>
        </w:rPr>
        <w:t xml:space="preserve"> Santiagueñ</w:t>
      </w:r>
      <w:r w:rsidR="00735E7D" w:rsidRPr="00631019">
        <w:rPr>
          <w:rFonts w:ascii="Times New Roman" w:hAnsi="Times New Roman" w:cs="Times New Roman"/>
          <w:sz w:val="24"/>
          <w:szCs w:val="24"/>
        </w:rPr>
        <w:t>o</w:t>
      </w:r>
      <w:r w:rsidRPr="00631019">
        <w:rPr>
          <w:rFonts w:ascii="Times New Roman" w:hAnsi="Times New Roman" w:cs="Times New Roman"/>
          <w:sz w:val="24"/>
          <w:szCs w:val="24"/>
        </w:rPr>
        <w:t>s</w:t>
      </w:r>
      <w:r w:rsidR="00735E7D" w:rsidRPr="00631019">
        <w:rPr>
          <w:rFonts w:ascii="Times New Roman" w:hAnsi="Times New Roman" w:cs="Times New Roman"/>
          <w:sz w:val="24"/>
          <w:szCs w:val="24"/>
        </w:rPr>
        <w:t xml:space="preserve"> (CORESA)</w:t>
      </w:r>
      <w:r w:rsidRPr="00631019">
        <w:rPr>
          <w:rFonts w:ascii="Times New Roman" w:hAnsi="Times New Roman" w:cs="Times New Roman"/>
          <w:b/>
          <w:bCs/>
          <w:sz w:val="24"/>
          <w:szCs w:val="24"/>
        </w:rPr>
        <w:t>,</w:t>
      </w:r>
      <w:r w:rsidRPr="00631019">
        <w:rPr>
          <w:rFonts w:ascii="Times New Roman" w:hAnsi="Times New Roman" w:cs="Times New Roman"/>
          <w:sz w:val="24"/>
          <w:szCs w:val="24"/>
        </w:rPr>
        <w:t xml:space="preserve"> organización perteneciente al Movimiento de Trabajadores Excluidos (MTE)</w:t>
      </w:r>
      <w:r w:rsidRPr="00631019">
        <w:rPr>
          <w:rFonts w:ascii="Times New Roman" w:hAnsi="Times New Roman" w:cs="Times New Roman"/>
          <w:b/>
          <w:bCs/>
          <w:sz w:val="24"/>
          <w:szCs w:val="24"/>
        </w:rPr>
        <w:t>.</w:t>
      </w:r>
      <w:r w:rsidRPr="00631019">
        <w:rPr>
          <w:rFonts w:ascii="Times New Roman" w:hAnsi="Times New Roman" w:cs="Times New Roman"/>
          <w:sz w:val="24"/>
          <w:szCs w:val="24"/>
        </w:rPr>
        <w:t xml:space="preserve"> El programa tuvo como propósito implementar una prueba piloto de recolección diferenciada mediante un sistema de promoción ambiental desarrollado por mujeres cartoneras y recuperadores urbanos.</w:t>
      </w:r>
    </w:p>
    <w:p w14:paraId="4F2CEF47"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implementación del programa se organizó en distintas etapas. En una primera instancia se realizó el diagnóstico y reconocimiento del territorio, seguido por la planificación participativa de las rutas de recolección y la capacitación del equipo de promotoras ambientales y recuperadores urbanos sobre el funcionamiento del servicio. Posteriormente, se diseñaron de manera colectiva las herramientas de intervención territorial, entre ellas materiales de comunicación para los vecinos, planillas de registro de hogares y procedimientos de trabajo para las visitas domiciliarias. Finalmente, se desarrollaron las jornadas de promoción ambiental y acompañamiento a los hogares, adecuando las actividades a las condiciones sanitarias establecidas durante la pandemia por COVID-19.</w:t>
      </w:r>
    </w:p>
    <w:p w14:paraId="09E44A44"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sistematización se realizó a partir del análisis de diversas fuentes de información producidas durante el desarrollo del programa, entre ellas registros de campo, planillas de relevamiento de hogares, informes técnicos, materiales de capacitación, herramientas de comunicación elaboradas por el equipo y observaciones participantes registradas durante las jornadas de trabajo. La información fue organizada y analizada mediante categorías vinculadas con la implementación de la estrategia de promoción ambiental, el desempeño de las promotoras ambientales y los resultados alcanzados en la incorporación de hogares al sistema de recolección diferenciada.</w:t>
      </w:r>
    </w:p>
    <w:p w14:paraId="1601D385"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i/>
          <w:iCs/>
          <w:sz w:val="24"/>
          <w:szCs w:val="24"/>
        </w:rPr>
        <w:t>Resultados</w:t>
      </w:r>
    </w:p>
    <w:p w14:paraId="5F1C4D5C"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lastRenderedPageBreak/>
        <w:t>La sistematización de la experiencia permitió identificar cuatro resultados principales vinculados con el diseño e implementación de la estrategia de promoción ambiental desarrollada en el marco del Programa Ruta Verde.</w:t>
      </w:r>
    </w:p>
    <w:p w14:paraId="5BD0BD87"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1. Diseño de una estrategia de promoción ambiental para la recolección diferenciada</w:t>
      </w:r>
    </w:p>
    <w:p w14:paraId="7203CE97"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Uno de los principales resultados fue la construcción de una estrategia de promoción ambiental orientada a acompañar la implementación del servicio de recolección diferenciada en el barrio Cabildo. La propuesta combinó instancias de planificación, capacitación y organización territorial con el objetivo de generar un vínculo directo entre la comunidad y el sistema de reciclaje inclusivo.</w:t>
      </w:r>
    </w:p>
    <w:p w14:paraId="17195BF0" w14:textId="5815DBE6"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Como parte de este proceso se definieron los recorridos de trabajo, se planificaron las rutas de recolección y se elaboraron colectivamente herramientas para la intervención territorial, entre ellas materiales de difusión, planillas de registro de hogares y procedimientos para las visitas domiciliarias. Estas herramientas permitieron organizar el trabajo de las promotoras ambientales </w:t>
      </w:r>
      <w:r w:rsidR="00735E7D" w:rsidRPr="00631019">
        <w:rPr>
          <w:rFonts w:ascii="Times New Roman" w:hAnsi="Times New Roman" w:cs="Times New Roman"/>
          <w:sz w:val="24"/>
          <w:szCs w:val="24"/>
        </w:rPr>
        <w:t xml:space="preserve">cartoneras </w:t>
      </w:r>
      <w:r w:rsidRPr="00631019">
        <w:rPr>
          <w:rFonts w:ascii="Times New Roman" w:hAnsi="Times New Roman" w:cs="Times New Roman"/>
          <w:sz w:val="24"/>
          <w:szCs w:val="24"/>
        </w:rPr>
        <w:t>y brindar información clara y uniforme a los vecinos sobre el funcionamiento del servicio.</w:t>
      </w:r>
    </w:p>
    <w:p w14:paraId="42E8BB03"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2. Implementación territorial de la experiencia piloto</w:t>
      </w:r>
    </w:p>
    <w:p w14:paraId="755B3E19" w14:textId="7E817C4A"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La estrategia diseñada se implementó mediante recorridos territoriales realizados por equipos integrados por promotoras ambientales </w:t>
      </w:r>
      <w:r w:rsidR="00631019" w:rsidRPr="00631019">
        <w:rPr>
          <w:rFonts w:ascii="Times New Roman" w:hAnsi="Times New Roman" w:cs="Times New Roman"/>
          <w:sz w:val="24"/>
          <w:szCs w:val="24"/>
        </w:rPr>
        <w:t xml:space="preserve">cartoneras </w:t>
      </w:r>
      <w:r w:rsidRPr="00631019">
        <w:rPr>
          <w:rFonts w:ascii="Times New Roman" w:hAnsi="Times New Roman" w:cs="Times New Roman"/>
          <w:sz w:val="24"/>
          <w:szCs w:val="24"/>
        </w:rPr>
        <w:t>y recuperadores urbanos. Las jornadas combinaron acciones de sensibilización, entrega de materiales informativos, registro de hogares interesados y acompañamiento personalizado a los vecinos, fortaleciendo la confianza y el conocimiento sobre la separación en origen.</w:t>
      </w:r>
    </w:p>
    <w:p w14:paraId="486A4762"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Previo al inicio del servicio se realizaron recorridos de reconocimiento del barrio que permitieron ajustar las rutas de trabajo, identificar las características del territorio y fortalecer la coordinación entre los integrantes de cada equipo. Este proceso favoreció una implementación progresiva del servicio y permitió adecuar la estrategia a las particularidades del barrio.</w:t>
      </w:r>
    </w:p>
    <w:p w14:paraId="30414FA5" w14:textId="7746DA8C"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3. Fortalecimiento del rol de las promotoras ambientales</w:t>
      </w:r>
      <w:r w:rsidR="00631019" w:rsidRPr="00631019">
        <w:rPr>
          <w:rFonts w:ascii="Times New Roman" w:hAnsi="Times New Roman" w:cs="Times New Roman"/>
          <w:b/>
          <w:bCs/>
          <w:sz w:val="24"/>
          <w:szCs w:val="24"/>
        </w:rPr>
        <w:t xml:space="preserve"> cartoneras</w:t>
      </w:r>
    </w:p>
    <w:p w14:paraId="54994D00"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experiencia permitió consolidar la participación de mujeres cartoneras como promotoras ambientales, ampliando sus funciones tradicionales dentro del sistema de reciclaje. Además de participar en las tareas de sensibilización comunitaria, asumieron responsabilidades vinculadas con la organización territorial, la comunicación con los hogares, el registro de la información y el acompañamiento del proceso de incorporación de vecinos al servicio de recolección diferenciada.</w:t>
      </w:r>
    </w:p>
    <w:p w14:paraId="182BCD99"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lastRenderedPageBreak/>
        <w:t>Este proceso fortaleció el trabajo colectivo entre promotoras y recuperadores urbanos, promoviendo nuevas formas de organización y una mayor visibilidad del aporte de las mujeres cartoneras en la gestión comunitaria de los residuos.</w:t>
      </w:r>
    </w:p>
    <w:p w14:paraId="637B1CD4"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4. Incorporación de hogares al sistema de recolección diferenciada</w:t>
      </w:r>
    </w:p>
    <w:p w14:paraId="050DDE57"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Como resultado de las acciones desarrolladas durante la prueba piloto, se incorporaron 268 hogares al sistema comunitario de recolección diferenciada. Este resultado refleja la capacidad de la estrategia de promoción ambiental para favorecer la participación ciudadana y consolidar una red inicial de vecinos comprometidos con la separación en origen de los residuos reciclables.</w:t>
      </w:r>
    </w:p>
    <w:p w14:paraId="0017639C"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experiencia demostró que la combinación de educación ambiental, trabajo territorial y participación de recuperadores urbanos constituye una estrategia efectiva para fortalecer el reciclaje inclusivo y ampliar la articulación entre comunidad y organizaciones cartoneras.</w:t>
      </w:r>
    </w:p>
    <w:p w14:paraId="1C550D66"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Conclusiones o Consideraciones Finales</w:t>
      </w:r>
    </w:p>
    <w:p w14:paraId="05EFBE9A"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sistematización de la experiencia desarrollada en el marco del Programa Ruta Verde permitió evidenciar que la implementación de un sistema de recolección diferenciada requiere, además de infraestructura y organización logística, estrategias de promoción ambiental que favorezcan la participación activa de la comunidad y fortalezcan el vínculo entre los hogares y las organizaciones de recuperadores urbanos.</w:t>
      </w:r>
    </w:p>
    <w:p w14:paraId="596FD211"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La experiencia demostró que la incorporación de mujeres cartoneras como promotoras ambientales constituyó un componente estratégico para la puesta en marcha del servicio, al facilitar los procesos de sensibilización, comunicación y acompañamiento territorial necesarios para promover la separación en origen de los residuos reciclables. Asimismo, el trabajo conjunto entre promotoras ambientales y recuperadores urbanos fortaleció la organización del sistema de recolección diferenciada y contribuyó a ampliar el reconocimiento social del trabajo cartonero.</w:t>
      </w:r>
    </w:p>
    <w:p w14:paraId="31DAB1E4"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Los resultados obtenidos muestran que la promoción ambiental puede consolidarse como una herramienta de gran valor para fortalecer el reciclaje inclusivo, especialmente cuando se desarrolla desde organizaciones de recuperadores urbanos con fuerte inserción territorial y participación comunitaria. En este sentido, la incorporación de 268 hogares al servicio de recolección diferenciada constituye una evidencia concreta del potencial de estas estrategias para favorecer la participación ciudadana y ampliar la recuperación de materiales reciclables.</w:t>
      </w:r>
    </w:p>
    <w:p w14:paraId="2DE737E5"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lastRenderedPageBreak/>
        <w:t>Finalmente, este trabajo aporta una experiencia sistematizada desarrollada en una ciudad intermedia del norte argentino, contribuyendo a ampliar el conocimiento disponible sobre promoción ambiental y reciclaje inclusivo más allá de las experiencias documentadas en los grandes centros urbanos del país. Se espera que los aprendizajes generados puedan servir como referencia para el diseño e implementación de futuras iniciativas de gestión integral de residuos con inclusión social, promoviendo el fortalecimiento de las organizaciones de recuperadores urbanos y el desarrollo de políticas públicas orientadas a consolidar sistemas de reciclaje más participativos, inclusivos y sostenibles.</w:t>
      </w:r>
    </w:p>
    <w:p w14:paraId="1A580B49" w14:textId="77777777" w:rsidR="00E80CE0" w:rsidRPr="00631019" w:rsidRDefault="00E80CE0" w:rsidP="005E1222">
      <w:pPr>
        <w:spacing w:line="360" w:lineRule="auto"/>
        <w:jc w:val="both"/>
        <w:rPr>
          <w:rFonts w:ascii="Times New Roman" w:hAnsi="Times New Roman" w:cs="Times New Roman"/>
          <w:b/>
          <w:bCs/>
          <w:sz w:val="24"/>
          <w:szCs w:val="24"/>
        </w:rPr>
      </w:pPr>
      <w:r w:rsidRPr="00631019">
        <w:rPr>
          <w:rFonts w:ascii="Times New Roman" w:hAnsi="Times New Roman" w:cs="Times New Roman"/>
          <w:b/>
          <w:bCs/>
          <w:sz w:val="24"/>
          <w:szCs w:val="24"/>
        </w:rPr>
        <w:t>Referencias bibliográficas</w:t>
      </w:r>
    </w:p>
    <w:p w14:paraId="3EB5A0BF" w14:textId="77777777" w:rsidR="00E80CE0" w:rsidRPr="00631019" w:rsidRDefault="00E80CE0" w:rsidP="005E1222">
      <w:pPr>
        <w:spacing w:line="360" w:lineRule="auto"/>
        <w:jc w:val="both"/>
        <w:rPr>
          <w:rFonts w:ascii="Times New Roman" w:hAnsi="Times New Roman" w:cs="Times New Roman"/>
          <w:sz w:val="24"/>
          <w:szCs w:val="24"/>
        </w:rPr>
      </w:pPr>
      <w:proofErr w:type="spellStart"/>
      <w:r w:rsidRPr="00631019">
        <w:rPr>
          <w:rFonts w:ascii="Times New Roman" w:hAnsi="Times New Roman" w:cs="Times New Roman"/>
          <w:sz w:val="24"/>
          <w:szCs w:val="24"/>
        </w:rPr>
        <w:t>Carenzo</w:t>
      </w:r>
      <w:proofErr w:type="spellEnd"/>
      <w:r w:rsidRPr="00631019">
        <w:rPr>
          <w:rFonts w:ascii="Times New Roman" w:hAnsi="Times New Roman" w:cs="Times New Roman"/>
          <w:sz w:val="24"/>
          <w:szCs w:val="24"/>
        </w:rPr>
        <w:t xml:space="preserve">, S., &amp; Schamber, P. (2021). Reciclaje inclusivo y modelos de transferencia tecnológica en Argentina: Análisis socio-técnico de iniciativas de reemplazo de carros cartoneros. </w:t>
      </w:r>
      <w:r w:rsidRPr="00631019">
        <w:rPr>
          <w:rFonts w:ascii="Times New Roman" w:hAnsi="Times New Roman" w:cs="Times New Roman"/>
          <w:i/>
          <w:iCs/>
          <w:sz w:val="24"/>
          <w:szCs w:val="24"/>
        </w:rPr>
        <w:t>Revista Iberoamericana de Ciencia, Tecnología y Sociedad, 16</w:t>
      </w:r>
      <w:r w:rsidRPr="00631019">
        <w:rPr>
          <w:rFonts w:ascii="Times New Roman" w:hAnsi="Times New Roman" w:cs="Times New Roman"/>
          <w:sz w:val="24"/>
          <w:szCs w:val="24"/>
        </w:rPr>
        <w:t xml:space="preserve">(47), 119–151. </w:t>
      </w:r>
      <w:hyperlink r:id="rId6" w:history="1">
        <w:r w:rsidRPr="00631019">
          <w:rPr>
            <w:rStyle w:val="Hipervnculo"/>
            <w:rFonts w:ascii="Times New Roman" w:hAnsi="Times New Roman" w:cs="Times New Roman"/>
            <w:sz w:val="24"/>
            <w:szCs w:val="24"/>
          </w:rPr>
          <w:t>https://ojs.revistacts.net/index.php/CTS/article/view/233</w:t>
        </w:r>
      </w:hyperlink>
    </w:p>
    <w:p w14:paraId="58E4A630"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Fals Borda, O., &amp; Rodríguez Brandão, C. (1987). </w:t>
      </w:r>
      <w:r w:rsidRPr="00631019">
        <w:rPr>
          <w:rFonts w:ascii="Times New Roman" w:hAnsi="Times New Roman" w:cs="Times New Roman"/>
          <w:i/>
          <w:iCs/>
          <w:sz w:val="24"/>
          <w:szCs w:val="24"/>
        </w:rPr>
        <w:t>Investigación participativa</w:t>
      </w:r>
      <w:r w:rsidRPr="00631019">
        <w:rPr>
          <w:rFonts w:ascii="Times New Roman" w:hAnsi="Times New Roman" w:cs="Times New Roman"/>
          <w:sz w:val="24"/>
          <w:szCs w:val="24"/>
        </w:rPr>
        <w:t>. Instituto del Hombre / Ediciones de la Banda Oriental.</w:t>
      </w:r>
    </w:p>
    <w:p w14:paraId="56C8615E" w14:textId="77777777"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Fernández Álvarez, M. I. (2017). Cartoneros en la ciudad: una mirada desde la economía popular. </w:t>
      </w:r>
      <w:r w:rsidRPr="00631019">
        <w:rPr>
          <w:rFonts w:ascii="Times New Roman" w:hAnsi="Times New Roman" w:cs="Times New Roman"/>
          <w:i/>
          <w:iCs/>
          <w:sz w:val="24"/>
          <w:szCs w:val="24"/>
        </w:rPr>
        <w:t xml:space="preserve">Revista </w:t>
      </w:r>
      <w:proofErr w:type="spellStart"/>
      <w:r w:rsidRPr="00631019">
        <w:rPr>
          <w:rFonts w:ascii="Times New Roman" w:hAnsi="Times New Roman" w:cs="Times New Roman"/>
          <w:i/>
          <w:iCs/>
          <w:sz w:val="24"/>
          <w:szCs w:val="24"/>
        </w:rPr>
        <w:t>Theomai</w:t>
      </w:r>
      <w:proofErr w:type="spellEnd"/>
      <w:r w:rsidRPr="00631019">
        <w:rPr>
          <w:rFonts w:ascii="Times New Roman" w:hAnsi="Times New Roman" w:cs="Times New Roman"/>
          <w:sz w:val="24"/>
          <w:szCs w:val="24"/>
        </w:rPr>
        <w:t>, (36), 123–141.</w:t>
      </w:r>
    </w:p>
    <w:p w14:paraId="604C3C7F" w14:textId="6252EB8E"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Jara, O. (2018). </w:t>
      </w:r>
      <w:r w:rsidRPr="00631019">
        <w:rPr>
          <w:rFonts w:ascii="Times New Roman" w:hAnsi="Times New Roman" w:cs="Times New Roman"/>
          <w:i/>
          <w:iCs/>
          <w:sz w:val="24"/>
          <w:szCs w:val="24"/>
        </w:rPr>
        <w:t>La sistematización de experiencias: práctica y teoría para otros mundos posibles</w:t>
      </w:r>
      <w:r w:rsidRPr="00631019">
        <w:rPr>
          <w:rFonts w:ascii="Times New Roman" w:hAnsi="Times New Roman" w:cs="Times New Roman"/>
          <w:sz w:val="24"/>
          <w:szCs w:val="24"/>
        </w:rPr>
        <w:t xml:space="preserve">. CEP Alforja. </w:t>
      </w:r>
    </w:p>
    <w:p w14:paraId="67B9BCCF" w14:textId="22238D64"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López, M. D. (2025). Prácticas colectivas y problemas públicos: la experiencia de los cartoneros y las promotoras ambientales en La Plata (Argentina). </w:t>
      </w:r>
      <w:r w:rsidRPr="00631019">
        <w:rPr>
          <w:rFonts w:ascii="Times New Roman" w:hAnsi="Times New Roman" w:cs="Times New Roman"/>
          <w:i/>
          <w:iCs/>
          <w:sz w:val="24"/>
          <w:szCs w:val="24"/>
        </w:rPr>
        <w:t>Desafíos, 37</w:t>
      </w:r>
      <w:r w:rsidRPr="00631019">
        <w:rPr>
          <w:rFonts w:ascii="Times New Roman" w:hAnsi="Times New Roman" w:cs="Times New Roman"/>
          <w:sz w:val="24"/>
          <w:szCs w:val="24"/>
        </w:rPr>
        <w:t xml:space="preserve">(1), 1–33. </w:t>
      </w:r>
    </w:p>
    <w:p w14:paraId="5B8D47E2" w14:textId="48F3F0E5"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lang w:val="en-US"/>
        </w:rPr>
        <w:t xml:space="preserve">Medina, M. (2007). </w:t>
      </w:r>
      <w:r w:rsidRPr="00631019">
        <w:rPr>
          <w:rFonts w:ascii="Times New Roman" w:hAnsi="Times New Roman" w:cs="Times New Roman"/>
          <w:i/>
          <w:iCs/>
          <w:sz w:val="24"/>
          <w:szCs w:val="24"/>
          <w:lang w:val="en-US"/>
        </w:rPr>
        <w:t>The World's Scavengers: Salvaging for Sustainable Consumption and Production</w:t>
      </w:r>
      <w:r w:rsidRPr="00631019">
        <w:rPr>
          <w:rFonts w:ascii="Times New Roman" w:hAnsi="Times New Roman" w:cs="Times New Roman"/>
          <w:sz w:val="24"/>
          <w:szCs w:val="24"/>
          <w:lang w:val="en-US"/>
        </w:rPr>
        <w:t xml:space="preserve">. </w:t>
      </w:r>
      <w:proofErr w:type="spellStart"/>
      <w:r w:rsidRPr="00631019">
        <w:rPr>
          <w:rFonts w:ascii="Times New Roman" w:hAnsi="Times New Roman" w:cs="Times New Roman"/>
          <w:sz w:val="24"/>
          <w:szCs w:val="24"/>
        </w:rPr>
        <w:t>AltaMira</w:t>
      </w:r>
      <w:proofErr w:type="spellEnd"/>
      <w:r w:rsidRPr="00631019">
        <w:rPr>
          <w:rFonts w:ascii="Times New Roman" w:hAnsi="Times New Roman" w:cs="Times New Roman"/>
          <w:sz w:val="24"/>
          <w:szCs w:val="24"/>
        </w:rPr>
        <w:t xml:space="preserve"> Press. </w:t>
      </w:r>
    </w:p>
    <w:p w14:paraId="560B9E83" w14:textId="516D6A8A"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rPr>
        <w:t xml:space="preserve">Puricelli, V. (2017). Nuevos sujetos en la recolección diferenciada de la basura: el "Programa de Promotoras Ambientales" en la Ciudad de Buenos Aires. </w:t>
      </w:r>
      <w:r w:rsidRPr="00631019">
        <w:rPr>
          <w:rFonts w:ascii="Times New Roman" w:hAnsi="Times New Roman" w:cs="Times New Roman"/>
          <w:i/>
          <w:iCs/>
          <w:sz w:val="24"/>
          <w:szCs w:val="24"/>
        </w:rPr>
        <w:t>Quid 16. Revista del Área de Estudios Urbanos</w:t>
      </w:r>
      <w:r w:rsidRPr="00631019">
        <w:rPr>
          <w:rFonts w:ascii="Times New Roman" w:hAnsi="Times New Roman" w:cs="Times New Roman"/>
          <w:sz w:val="24"/>
          <w:szCs w:val="24"/>
        </w:rPr>
        <w:t xml:space="preserve">, (8), 195–208. </w:t>
      </w:r>
    </w:p>
    <w:p w14:paraId="16CCF9A2" w14:textId="3ECD8D86" w:rsidR="00E80CE0" w:rsidRPr="00631019" w:rsidRDefault="00E80CE0" w:rsidP="005E1222">
      <w:pPr>
        <w:spacing w:line="360" w:lineRule="auto"/>
        <w:jc w:val="both"/>
        <w:rPr>
          <w:rFonts w:ascii="Times New Roman" w:hAnsi="Times New Roman" w:cs="Times New Roman"/>
          <w:sz w:val="24"/>
          <w:szCs w:val="24"/>
        </w:rPr>
      </w:pPr>
      <w:r w:rsidRPr="00631019">
        <w:rPr>
          <w:rFonts w:ascii="Times New Roman" w:hAnsi="Times New Roman" w:cs="Times New Roman"/>
          <w:sz w:val="24"/>
          <w:szCs w:val="24"/>
          <w:lang w:val="en-US"/>
        </w:rPr>
        <w:t xml:space="preserve">Sarandón, F., &amp; Schamber, P. J. (2019). </w:t>
      </w:r>
      <w:r w:rsidRPr="00631019">
        <w:rPr>
          <w:rFonts w:ascii="Times New Roman" w:hAnsi="Times New Roman" w:cs="Times New Roman"/>
          <w:sz w:val="24"/>
          <w:szCs w:val="24"/>
        </w:rPr>
        <w:t xml:space="preserve">Fortalezas, debilidades y oportunidades de la política de gestión diferenciada de residuos para grandes generadores del área metropolitana de Buenos Aires (2013-2017). ¿Promoción del reciclaje inclusivo o más de lo mismo? </w:t>
      </w:r>
      <w:r w:rsidRPr="00631019">
        <w:rPr>
          <w:rFonts w:ascii="Times New Roman" w:hAnsi="Times New Roman" w:cs="Times New Roman"/>
          <w:i/>
          <w:iCs/>
          <w:sz w:val="24"/>
          <w:szCs w:val="24"/>
        </w:rPr>
        <w:t>Gestión y Análisis de Políticas Públicas</w:t>
      </w:r>
      <w:r w:rsidRPr="00631019">
        <w:rPr>
          <w:rFonts w:ascii="Times New Roman" w:hAnsi="Times New Roman" w:cs="Times New Roman"/>
          <w:sz w:val="24"/>
          <w:szCs w:val="24"/>
        </w:rPr>
        <w:t>, (21), 61–79.</w:t>
      </w:r>
      <w:r w:rsidR="00D17E1C" w:rsidRPr="00631019">
        <w:rPr>
          <w:rFonts w:ascii="Times New Roman" w:hAnsi="Times New Roman" w:cs="Times New Roman"/>
          <w:sz w:val="24"/>
          <w:szCs w:val="24"/>
        </w:rPr>
        <w:t xml:space="preserve"> </w:t>
      </w:r>
    </w:p>
    <w:sectPr w:rsidR="00E80CE0" w:rsidRPr="00631019" w:rsidSect="00631019">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BBFB" w14:textId="77777777" w:rsidR="007E6D7E" w:rsidRDefault="007E6D7E" w:rsidP="005E1222">
      <w:pPr>
        <w:spacing w:after="0" w:line="240" w:lineRule="auto"/>
      </w:pPr>
      <w:r>
        <w:separator/>
      </w:r>
    </w:p>
  </w:endnote>
  <w:endnote w:type="continuationSeparator" w:id="0">
    <w:p w14:paraId="7363A6B3" w14:textId="77777777" w:rsidR="007E6D7E" w:rsidRDefault="007E6D7E" w:rsidP="005E1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650973"/>
      <w:docPartObj>
        <w:docPartGallery w:val="Page Numbers (Bottom of Page)"/>
        <w:docPartUnique/>
      </w:docPartObj>
    </w:sdtPr>
    <w:sdtContent>
      <w:p w14:paraId="4D423BA6" w14:textId="2528DFA8" w:rsidR="005E1222" w:rsidRDefault="005E1222">
        <w:pPr>
          <w:pStyle w:val="Piedepgina"/>
          <w:jc w:val="right"/>
        </w:pPr>
        <w:r>
          <w:fldChar w:fldCharType="begin"/>
        </w:r>
        <w:r>
          <w:instrText>PAGE   \* MERGEFORMAT</w:instrText>
        </w:r>
        <w:r>
          <w:fldChar w:fldCharType="separate"/>
        </w:r>
        <w:r>
          <w:rPr>
            <w:lang w:val="es-ES"/>
          </w:rPr>
          <w:t>2</w:t>
        </w:r>
        <w:r>
          <w:fldChar w:fldCharType="end"/>
        </w:r>
      </w:p>
    </w:sdtContent>
  </w:sdt>
  <w:p w14:paraId="28E83081" w14:textId="77777777" w:rsidR="005E1222" w:rsidRDefault="005E12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0C057" w14:textId="77777777" w:rsidR="007E6D7E" w:rsidRDefault="007E6D7E" w:rsidP="005E1222">
      <w:pPr>
        <w:spacing w:after="0" w:line="240" w:lineRule="auto"/>
      </w:pPr>
      <w:r>
        <w:separator/>
      </w:r>
    </w:p>
  </w:footnote>
  <w:footnote w:type="continuationSeparator" w:id="0">
    <w:p w14:paraId="07EC730A" w14:textId="77777777" w:rsidR="007E6D7E" w:rsidRDefault="007E6D7E" w:rsidP="005E12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E0"/>
    <w:rsid w:val="000426AF"/>
    <w:rsid w:val="002B1E90"/>
    <w:rsid w:val="00376748"/>
    <w:rsid w:val="003B7D33"/>
    <w:rsid w:val="00433EBB"/>
    <w:rsid w:val="005A7021"/>
    <w:rsid w:val="005E1222"/>
    <w:rsid w:val="005F046F"/>
    <w:rsid w:val="00631019"/>
    <w:rsid w:val="0069670C"/>
    <w:rsid w:val="00735E7D"/>
    <w:rsid w:val="007E6D7E"/>
    <w:rsid w:val="00981DC9"/>
    <w:rsid w:val="00981EE9"/>
    <w:rsid w:val="00A10958"/>
    <w:rsid w:val="00B0546D"/>
    <w:rsid w:val="00D17E1C"/>
    <w:rsid w:val="00D9614D"/>
    <w:rsid w:val="00E01979"/>
    <w:rsid w:val="00E80CE0"/>
    <w:rsid w:val="00EF388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4A9A5"/>
  <w15:chartTrackingRefBased/>
  <w15:docId w15:val="{E95FA2ED-CCE5-4607-9C2C-B7E3145BA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80C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80C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80CE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80CE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80CE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80C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80C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80C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80C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0CE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80CE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80CE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80CE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80CE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80C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80C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80C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80CE0"/>
    <w:rPr>
      <w:rFonts w:eastAsiaTheme="majorEastAsia" w:cstheme="majorBidi"/>
      <w:color w:val="272727" w:themeColor="text1" w:themeTint="D8"/>
    </w:rPr>
  </w:style>
  <w:style w:type="paragraph" w:styleId="Ttulo">
    <w:name w:val="Title"/>
    <w:basedOn w:val="Normal"/>
    <w:next w:val="Normal"/>
    <w:link w:val="TtuloCar"/>
    <w:uiPriority w:val="10"/>
    <w:qFormat/>
    <w:rsid w:val="00E80C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80C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0C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80C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80CE0"/>
    <w:pPr>
      <w:spacing w:before="160"/>
      <w:jc w:val="center"/>
    </w:pPr>
    <w:rPr>
      <w:i/>
      <w:iCs/>
      <w:color w:val="404040" w:themeColor="text1" w:themeTint="BF"/>
    </w:rPr>
  </w:style>
  <w:style w:type="character" w:customStyle="1" w:styleId="CitaCar">
    <w:name w:val="Cita Car"/>
    <w:basedOn w:val="Fuentedeprrafopredeter"/>
    <w:link w:val="Cita"/>
    <w:uiPriority w:val="29"/>
    <w:rsid w:val="00E80CE0"/>
    <w:rPr>
      <w:i/>
      <w:iCs/>
      <w:color w:val="404040" w:themeColor="text1" w:themeTint="BF"/>
    </w:rPr>
  </w:style>
  <w:style w:type="paragraph" w:styleId="Prrafodelista">
    <w:name w:val="List Paragraph"/>
    <w:basedOn w:val="Normal"/>
    <w:uiPriority w:val="34"/>
    <w:qFormat/>
    <w:rsid w:val="00E80CE0"/>
    <w:pPr>
      <w:ind w:left="720"/>
      <w:contextualSpacing/>
    </w:pPr>
  </w:style>
  <w:style w:type="character" w:styleId="nfasisintenso">
    <w:name w:val="Intense Emphasis"/>
    <w:basedOn w:val="Fuentedeprrafopredeter"/>
    <w:uiPriority w:val="21"/>
    <w:qFormat/>
    <w:rsid w:val="00E80CE0"/>
    <w:rPr>
      <w:i/>
      <w:iCs/>
      <w:color w:val="2F5496" w:themeColor="accent1" w:themeShade="BF"/>
    </w:rPr>
  </w:style>
  <w:style w:type="paragraph" w:styleId="Citadestacada">
    <w:name w:val="Intense Quote"/>
    <w:basedOn w:val="Normal"/>
    <w:next w:val="Normal"/>
    <w:link w:val="CitadestacadaCar"/>
    <w:uiPriority w:val="30"/>
    <w:qFormat/>
    <w:rsid w:val="00E80C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80CE0"/>
    <w:rPr>
      <w:i/>
      <w:iCs/>
      <w:color w:val="2F5496" w:themeColor="accent1" w:themeShade="BF"/>
    </w:rPr>
  </w:style>
  <w:style w:type="character" w:styleId="Referenciaintensa">
    <w:name w:val="Intense Reference"/>
    <w:basedOn w:val="Fuentedeprrafopredeter"/>
    <w:uiPriority w:val="32"/>
    <w:qFormat/>
    <w:rsid w:val="00E80CE0"/>
    <w:rPr>
      <w:b/>
      <w:bCs/>
      <w:smallCaps/>
      <w:color w:val="2F5496" w:themeColor="accent1" w:themeShade="BF"/>
      <w:spacing w:val="5"/>
    </w:rPr>
  </w:style>
  <w:style w:type="character" w:styleId="Hipervnculo">
    <w:name w:val="Hyperlink"/>
    <w:basedOn w:val="Fuentedeprrafopredeter"/>
    <w:uiPriority w:val="99"/>
    <w:unhideWhenUsed/>
    <w:rsid w:val="00E80CE0"/>
    <w:rPr>
      <w:color w:val="0563C1" w:themeColor="hyperlink"/>
      <w:u w:val="single"/>
    </w:rPr>
  </w:style>
  <w:style w:type="character" w:styleId="Mencinsinresolver">
    <w:name w:val="Unresolved Mention"/>
    <w:basedOn w:val="Fuentedeprrafopredeter"/>
    <w:uiPriority w:val="99"/>
    <w:semiHidden/>
    <w:unhideWhenUsed/>
    <w:rsid w:val="00E80CE0"/>
    <w:rPr>
      <w:color w:val="605E5C"/>
      <w:shd w:val="clear" w:color="auto" w:fill="E1DFDD"/>
    </w:rPr>
  </w:style>
  <w:style w:type="paragraph" w:styleId="Encabezado">
    <w:name w:val="header"/>
    <w:basedOn w:val="Normal"/>
    <w:link w:val="EncabezadoCar"/>
    <w:uiPriority w:val="99"/>
    <w:unhideWhenUsed/>
    <w:rsid w:val="005E12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E1222"/>
  </w:style>
  <w:style w:type="paragraph" w:styleId="Piedepgina">
    <w:name w:val="footer"/>
    <w:basedOn w:val="Normal"/>
    <w:link w:val="PiedepginaCar"/>
    <w:uiPriority w:val="99"/>
    <w:unhideWhenUsed/>
    <w:rsid w:val="005E12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E1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js.revistacts.net/index.php/CTS/article/view/23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7</Pages>
  <Words>2422</Words>
  <Characters>13322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Acosta</dc:creator>
  <cp:keywords/>
  <dc:description/>
  <cp:lastModifiedBy>Silvia Acosta</cp:lastModifiedBy>
  <cp:revision>5</cp:revision>
  <dcterms:created xsi:type="dcterms:W3CDTF">2026-08-19T16:40:00Z</dcterms:created>
  <dcterms:modified xsi:type="dcterms:W3CDTF">2026-08-19T23:41:00Z</dcterms:modified>
</cp:coreProperties>
</file>