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3C394979" w:rsidR="00AF3F97" w:rsidRPr="00B57E4D" w:rsidRDefault="008B6DE2">
      <w:pPr>
        <w:jc w:val="center"/>
        <w:rPr>
          <w:b/>
          <w:bCs/>
        </w:rPr>
      </w:pPr>
      <w:r>
        <w:rPr>
          <w:b/>
          <w:bCs/>
        </w:rPr>
        <w:t>Bioconversión de leche y lactosuero de cabra mediante el uso de una cepa láctica proteolítica: evaluación tecnológica e identificación de péptidos bioactivos con potencial impacto regional</w:t>
      </w:r>
    </w:p>
    <w:p w14:paraId="00000003" w14:textId="77777777" w:rsidR="00AF3F97" w:rsidRDefault="00AF3F97">
      <w:pPr>
        <w:jc w:val="center"/>
        <w:rPr>
          <w:b/>
          <w:bCs/>
        </w:rPr>
      </w:pPr>
    </w:p>
    <w:p w14:paraId="00000004" w14:textId="303FBBDF" w:rsidR="00AF3F97" w:rsidRDefault="00446097">
      <w:pPr>
        <w:spacing w:line="240" w:lineRule="auto"/>
        <w:jc w:val="right"/>
        <w:rPr>
          <w:b/>
          <w:bCs/>
        </w:rPr>
      </w:pPr>
      <w:r>
        <w:rPr>
          <w:b/>
          <w:bCs/>
        </w:rPr>
        <w:t>Juan José Carol Paz</w:t>
      </w:r>
    </w:p>
    <w:p w14:paraId="00000005" w14:textId="41E9AC64" w:rsidR="00AF3F97" w:rsidRPr="00567726" w:rsidRDefault="00446097">
      <w:pPr>
        <w:spacing w:line="240" w:lineRule="auto"/>
        <w:jc w:val="right"/>
      </w:pPr>
      <w:r w:rsidRPr="00567726">
        <w:t xml:space="preserve">CIBAAL-UNSE-CONICET, </w:t>
      </w:r>
      <w:proofErr w:type="spellStart"/>
      <w:r w:rsidRPr="00567726">
        <w:t>FAyA</w:t>
      </w:r>
      <w:proofErr w:type="spellEnd"/>
      <w:r w:rsidRPr="00567726">
        <w:t>-UNSE</w:t>
      </w:r>
    </w:p>
    <w:p w14:paraId="00000006" w14:textId="7D0D2622" w:rsidR="00AF3F97" w:rsidRPr="00446097" w:rsidRDefault="00446097">
      <w:pPr>
        <w:spacing w:line="240" w:lineRule="auto"/>
        <w:jc w:val="right"/>
      </w:pPr>
      <w:r w:rsidRPr="00446097">
        <w:t>Argentina, Santiago d</w:t>
      </w:r>
      <w:r>
        <w:t>el Estero</w:t>
      </w:r>
    </w:p>
    <w:p w14:paraId="00000007" w14:textId="00AD77F7" w:rsidR="00AF3F97" w:rsidRDefault="00446097">
      <w:pPr>
        <w:spacing w:line="240" w:lineRule="auto"/>
        <w:jc w:val="right"/>
      </w:pPr>
      <w:r>
        <w:t>carolpazjuanjose@gmail.com</w:t>
      </w:r>
    </w:p>
    <w:p w14:paraId="00000008" w14:textId="77777777" w:rsidR="00AF3F97" w:rsidRDefault="00AF3F97">
      <w:pPr>
        <w:spacing w:line="240" w:lineRule="auto"/>
        <w:jc w:val="right"/>
        <w:rPr>
          <w:b/>
          <w:bCs/>
        </w:rPr>
      </w:pPr>
    </w:p>
    <w:p w14:paraId="00000009" w14:textId="3E6843DF" w:rsidR="00AF3F97" w:rsidRDefault="00446097">
      <w:pPr>
        <w:spacing w:line="240" w:lineRule="auto"/>
        <w:jc w:val="right"/>
        <w:rPr>
          <w:b/>
          <w:bCs/>
        </w:rPr>
      </w:pPr>
      <w:r>
        <w:rPr>
          <w:b/>
          <w:bCs/>
        </w:rPr>
        <w:t>Mariano A</w:t>
      </w:r>
      <w:r w:rsidR="00567726">
        <w:rPr>
          <w:b/>
          <w:bCs/>
        </w:rPr>
        <w:t>riel</w:t>
      </w:r>
      <w:r>
        <w:rPr>
          <w:b/>
          <w:bCs/>
        </w:rPr>
        <w:t xml:space="preserve"> Ibarra</w:t>
      </w:r>
      <w:r w:rsidR="003F0342">
        <w:rPr>
          <w:b/>
          <w:bCs/>
        </w:rPr>
        <w:t xml:space="preserve"> Rodríguez</w:t>
      </w:r>
    </w:p>
    <w:p w14:paraId="0000000A" w14:textId="71DB99E5" w:rsidR="00AF3F97" w:rsidRDefault="00446097">
      <w:pPr>
        <w:spacing w:line="240" w:lineRule="auto"/>
        <w:jc w:val="right"/>
      </w:pPr>
      <w:proofErr w:type="spellStart"/>
      <w:r>
        <w:t>FAyA</w:t>
      </w:r>
      <w:proofErr w:type="spellEnd"/>
      <w:r>
        <w:t>-UNSE</w:t>
      </w:r>
    </w:p>
    <w:p w14:paraId="0000000B" w14:textId="5C736750" w:rsidR="00AF3F97" w:rsidRDefault="00446097">
      <w:pPr>
        <w:spacing w:line="240" w:lineRule="auto"/>
        <w:jc w:val="right"/>
      </w:pPr>
      <w:r>
        <w:t>Argentina, Santiago del Estero</w:t>
      </w:r>
    </w:p>
    <w:p w14:paraId="0000000C" w14:textId="738239F7" w:rsidR="00AF3F97" w:rsidRDefault="00446097">
      <w:pPr>
        <w:spacing w:line="240" w:lineRule="auto"/>
        <w:jc w:val="right"/>
      </w:pPr>
      <w:r>
        <w:t>09mariano.ibarra05@gmail.com</w:t>
      </w:r>
    </w:p>
    <w:p w14:paraId="416CE540" w14:textId="77777777" w:rsidR="00446097" w:rsidRDefault="00446097">
      <w:pPr>
        <w:spacing w:line="240" w:lineRule="auto"/>
        <w:jc w:val="right"/>
      </w:pPr>
    </w:p>
    <w:p w14:paraId="734E08C8" w14:textId="5DABC526" w:rsidR="007E1C5C" w:rsidRPr="007E1C5C" w:rsidRDefault="007E1C5C" w:rsidP="007E1C5C">
      <w:pPr>
        <w:spacing w:line="240" w:lineRule="auto"/>
        <w:jc w:val="right"/>
        <w:rPr>
          <w:b/>
          <w:bCs/>
        </w:rPr>
      </w:pPr>
      <w:r w:rsidRPr="007E1C5C">
        <w:rPr>
          <w:b/>
          <w:bCs/>
        </w:rPr>
        <w:t xml:space="preserve">Ana </w:t>
      </w:r>
      <w:r w:rsidRPr="007E1C5C">
        <w:rPr>
          <w:b/>
          <w:bCs/>
        </w:rPr>
        <w:t>Estela Ledesma</w:t>
      </w:r>
    </w:p>
    <w:p w14:paraId="13B3C9DC" w14:textId="7F0785D6" w:rsidR="007E1C5C" w:rsidRPr="007E1C5C" w:rsidRDefault="007E1C5C" w:rsidP="007E1C5C">
      <w:pPr>
        <w:spacing w:line="240" w:lineRule="auto"/>
        <w:jc w:val="right"/>
      </w:pPr>
      <w:r w:rsidRPr="007E1C5C">
        <w:t xml:space="preserve">CIBAAL-UNSE-CONICET, </w:t>
      </w:r>
      <w:proofErr w:type="spellStart"/>
      <w:r w:rsidRPr="007E1C5C">
        <w:t>F</w:t>
      </w:r>
      <w:r w:rsidRPr="007E1C5C">
        <w:t>CEyT</w:t>
      </w:r>
      <w:proofErr w:type="spellEnd"/>
      <w:r w:rsidRPr="007E1C5C">
        <w:t>-UNSE</w:t>
      </w:r>
    </w:p>
    <w:p w14:paraId="7353B14B" w14:textId="77777777" w:rsidR="007E1C5C" w:rsidRPr="00446097" w:rsidRDefault="007E1C5C" w:rsidP="007E1C5C">
      <w:pPr>
        <w:spacing w:line="240" w:lineRule="auto"/>
        <w:jc w:val="right"/>
      </w:pPr>
      <w:r w:rsidRPr="00446097">
        <w:t>Argentina, Santiago d</w:t>
      </w:r>
      <w:r>
        <w:t>el Estero</w:t>
      </w:r>
    </w:p>
    <w:p w14:paraId="6CC5892C" w14:textId="37D3FE24" w:rsidR="007E1C5C" w:rsidRDefault="007E1C5C" w:rsidP="007E1C5C">
      <w:pPr>
        <w:spacing w:line="240" w:lineRule="auto"/>
        <w:jc w:val="right"/>
      </w:pPr>
      <w:r>
        <w:t>ana1ledesma</w:t>
      </w:r>
      <w:r>
        <w:t>@</w:t>
      </w:r>
      <w:r>
        <w:t>yahoo</w:t>
      </w:r>
      <w:r>
        <w:t>.</w:t>
      </w:r>
      <w:r>
        <w:t>com.</w:t>
      </w:r>
      <w:r>
        <w:t>ar</w:t>
      </w:r>
    </w:p>
    <w:p w14:paraId="422A7EC4" w14:textId="77777777" w:rsidR="007E1C5C" w:rsidRDefault="007E1C5C" w:rsidP="00446097">
      <w:pPr>
        <w:spacing w:line="240" w:lineRule="auto"/>
        <w:jc w:val="right"/>
        <w:rPr>
          <w:b/>
          <w:bCs/>
        </w:rPr>
      </w:pPr>
    </w:p>
    <w:p w14:paraId="40AAF7DF" w14:textId="26345EED" w:rsidR="00446097" w:rsidRDefault="00446097" w:rsidP="00446097">
      <w:pPr>
        <w:spacing w:line="240" w:lineRule="auto"/>
        <w:jc w:val="right"/>
        <w:rPr>
          <w:b/>
          <w:bCs/>
        </w:rPr>
      </w:pPr>
      <w:r>
        <w:rPr>
          <w:b/>
          <w:bCs/>
        </w:rPr>
        <w:t>Ana Yanina Bustos</w:t>
      </w:r>
    </w:p>
    <w:p w14:paraId="79F3F4FC" w14:textId="5EA65887" w:rsidR="00446097" w:rsidRPr="00446097" w:rsidRDefault="00446097" w:rsidP="00446097">
      <w:pPr>
        <w:spacing w:line="240" w:lineRule="auto"/>
        <w:jc w:val="right"/>
        <w:rPr>
          <w:lang w:val="en-US"/>
        </w:rPr>
      </w:pPr>
      <w:r w:rsidRPr="00446097">
        <w:rPr>
          <w:lang w:val="en-US"/>
        </w:rPr>
        <w:t xml:space="preserve">CIBAAL-UNSE-CONICET, </w:t>
      </w:r>
      <w:proofErr w:type="spellStart"/>
      <w:r w:rsidRPr="00446097">
        <w:rPr>
          <w:lang w:val="en-US"/>
        </w:rPr>
        <w:t>FAyA</w:t>
      </w:r>
      <w:proofErr w:type="spellEnd"/>
      <w:r w:rsidRPr="00446097">
        <w:rPr>
          <w:lang w:val="en-US"/>
        </w:rPr>
        <w:t>-UNSE,</w:t>
      </w:r>
      <w:r>
        <w:rPr>
          <w:lang w:val="en-US"/>
        </w:rPr>
        <w:t xml:space="preserve"> </w:t>
      </w:r>
      <w:proofErr w:type="spellStart"/>
      <w:r>
        <w:rPr>
          <w:lang w:val="en-US"/>
        </w:rPr>
        <w:t>FHCSyS</w:t>
      </w:r>
      <w:proofErr w:type="spellEnd"/>
      <w:r>
        <w:rPr>
          <w:lang w:val="en-US"/>
        </w:rPr>
        <w:t>-UNSE</w:t>
      </w:r>
    </w:p>
    <w:p w14:paraId="1F0A529F" w14:textId="77777777" w:rsidR="00446097" w:rsidRPr="00446097" w:rsidRDefault="00446097" w:rsidP="00446097">
      <w:pPr>
        <w:spacing w:line="240" w:lineRule="auto"/>
        <w:jc w:val="right"/>
      </w:pPr>
      <w:r w:rsidRPr="00446097">
        <w:t>Argentina, Santiago d</w:t>
      </w:r>
      <w:r>
        <w:t>el Estero</w:t>
      </w:r>
    </w:p>
    <w:p w14:paraId="6A1066F7" w14:textId="62AC7B06" w:rsidR="00446097" w:rsidRDefault="00446097" w:rsidP="00446097">
      <w:pPr>
        <w:spacing w:line="240" w:lineRule="auto"/>
        <w:jc w:val="right"/>
      </w:pPr>
      <w:r>
        <w:t>abustos@uspt.edu.ar</w:t>
      </w:r>
    </w:p>
    <w:p w14:paraId="723ABB08" w14:textId="2E9DC46E" w:rsidR="00446097" w:rsidRDefault="00446097">
      <w:pPr>
        <w:spacing w:line="240" w:lineRule="auto"/>
        <w:jc w:val="right"/>
      </w:pPr>
    </w:p>
    <w:p w14:paraId="0000000E" w14:textId="1A8CBF9C" w:rsidR="00AF3F97" w:rsidRPr="00BB08A0" w:rsidRDefault="00000000">
      <w:pPr>
        <w:rPr>
          <w:i/>
          <w:iCs/>
        </w:rPr>
      </w:pPr>
      <w:r>
        <w:rPr>
          <w:b/>
          <w:bCs/>
        </w:rPr>
        <w:t>Resumen</w:t>
      </w:r>
      <w:r>
        <w:br/>
      </w:r>
      <w:r w:rsidR="008925D9">
        <w:t xml:space="preserve">El presente trabajo evaluó la capacidad tecnológica de la cepa </w:t>
      </w:r>
      <w:r w:rsidR="00BB08A0" w:rsidRPr="00BB08A0">
        <w:rPr>
          <w:i/>
          <w:iCs/>
        </w:rPr>
        <w:t>L</w:t>
      </w:r>
      <w:r w:rsidR="00BB08A0">
        <w:rPr>
          <w:i/>
          <w:iCs/>
        </w:rPr>
        <w:t>actiplantibacillus</w:t>
      </w:r>
      <w:r w:rsidR="00BB08A0" w:rsidRPr="00BB08A0">
        <w:rPr>
          <w:i/>
          <w:iCs/>
        </w:rPr>
        <w:t>.</w:t>
      </w:r>
      <w:r w:rsidR="008925D9">
        <w:rPr>
          <w:i/>
          <w:iCs/>
        </w:rPr>
        <w:t xml:space="preserve"> </w:t>
      </w:r>
      <w:r w:rsidR="008925D9">
        <w:t>(</w:t>
      </w:r>
      <w:r w:rsidR="008925D9">
        <w:rPr>
          <w:i/>
          <w:iCs/>
        </w:rPr>
        <w:t>L</w:t>
      </w:r>
      <w:r w:rsidR="008925D9">
        <w:t>.)</w:t>
      </w:r>
      <w:r w:rsidR="008925D9">
        <w:rPr>
          <w:i/>
          <w:iCs/>
        </w:rPr>
        <w:t xml:space="preserve"> </w:t>
      </w:r>
      <w:proofErr w:type="spellStart"/>
      <w:r w:rsidR="008925D9">
        <w:rPr>
          <w:i/>
          <w:iCs/>
        </w:rPr>
        <w:t>plantarum</w:t>
      </w:r>
      <w:proofErr w:type="spellEnd"/>
      <w:r w:rsidR="008925D9">
        <w:t xml:space="preserve"> CB2 en leche y lactosuero de cabra, y caracterizó su perfil </w:t>
      </w:r>
      <w:proofErr w:type="spellStart"/>
      <w:r w:rsidR="008925D9">
        <w:t>peptidómico</w:t>
      </w:r>
      <w:proofErr w:type="spellEnd"/>
      <w:r w:rsidR="008925D9">
        <w:t xml:space="preserve"> a partir de caseína para predecir propiedades bioactivas </w:t>
      </w:r>
      <w:r w:rsidR="008925D9">
        <w:rPr>
          <w:i/>
          <w:iCs/>
        </w:rPr>
        <w:t xml:space="preserve">in </w:t>
      </w:r>
      <w:proofErr w:type="spellStart"/>
      <w:r w:rsidR="008925D9">
        <w:rPr>
          <w:i/>
          <w:iCs/>
        </w:rPr>
        <w:t>silico</w:t>
      </w:r>
      <w:proofErr w:type="spellEnd"/>
      <w:r w:rsidR="008925D9">
        <w:t xml:space="preserve">. La cepa evidenció una excelente adaptación en leche de cabra, manteniendo alta viabilidad y un incremento sostenido de aminoácidos durante 21 días de almacenamiento refrigerado. Además, demostró una hidrólisis rápida en lactosuero caprino, destacando su potencial para revalorizar este subproducto. Mediante espectrometría de masas, se analizó el hidrolizado de caseína, evidenciando una potente actividad proteolítica con afinidad por las fracciones αS1, αS2 y β. El análisis bioinformático de los péptidos liberados reveló secuencias no tóxicas con destacadas </w:t>
      </w:r>
      <w:proofErr w:type="spellStart"/>
      <w:r w:rsidR="008925D9">
        <w:t>biofuncionalidades</w:t>
      </w:r>
      <w:proofErr w:type="spellEnd"/>
      <w:r w:rsidR="008925D9">
        <w:t xml:space="preserve">. Predominaron los péptidos con actividad antioxidante y antihipertensiva, identificándose </w:t>
      </w:r>
      <w:r w:rsidR="00BB08A0">
        <w:t>también</w:t>
      </w:r>
      <w:r w:rsidR="008925D9">
        <w:t xml:space="preserve"> fragmentos con capacidad antimicrobiana, </w:t>
      </w:r>
      <w:proofErr w:type="spellStart"/>
      <w:r w:rsidR="008925D9">
        <w:lastRenderedPageBreak/>
        <w:t>inmunomoduladora</w:t>
      </w:r>
      <w:proofErr w:type="spellEnd"/>
      <w:r w:rsidR="008925D9">
        <w:t xml:space="preserve"> y opioide. </w:t>
      </w:r>
      <w:r w:rsidR="00BB08A0">
        <w:t>Esto permitió establecer</w:t>
      </w:r>
      <w:r w:rsidR="008925D9">
        <w:t xml:space="preserve"> que </w:t>
      </w:r>
      <w:r w:rsidR="008925D9">
        <w:rPr>
          <w:i/>
          <w:iCs/>
        </w:rPr>
        <w:t xml:space="preserve">L. </w:t>
      </w:r>
      <w:proofErr w:type="spellStart"/>
      <w:r w:rsidR="008925D9">
        <w:rPr>
          <w:i/>
          <w:iCs/>
        </w:rPr>
        <w:t>plantarum</w:t>
      </w:r>
      <w:proofErr w:type="spellEnd"/>
      <w:r w:rsidR="008925D9">
        <w:t xml:space="preserve"> CB2 posee un robusto sistema enzimático capaz de generar péptidos bioactivos, posicionándola como un cultivo iniciador prometedor para el diseño de alimentos funcionales y el aprovechamiento biotecnológico de la cadena caprina regional.</w:t>
      </w:r>
    </w:p>
    <w:p w14:paraId="0000000F" w14:textId="77777777" w:rsidR="00AF3F97" w:rsidRDefault="00000000">
      <w:pPr>
        <w:rPr>
          <w:b/>
          <w:bCs/>
        </w:rPr>
      </w:pPr>
      <w:r>
        <w:rPr>
          <w:b/>
          <w:bCs/>
        </w:rPr>
        <w:t>Palabras clave</w:t>
      </w:r>
    </w:p>
    <w:p w14:paraId="00000010" w14:textId="40F57EEC" w:rsidR="00AF3F97" w:rsidRDefault="00B57E4D">
      <w:pPr>
        <w:rPr>
          <w:i/>
          <w:iCs/>
        </w:rPr>
      </w:pPr>
      <w:r>
        <w:t>fermentación láctica, actividad proteolítica, péptidos bioactivos</w:t>
      </w:r>
    </w:p>
    <w:p w14:paraId="00000011" w14:textId="77777777" w:rsidR="00AF3F97" w:rsidRDefault="00AF3F97"/>
    <w:p w14:paraId="00000012" w14:textId="77777777" w:rsidR="00AF3F97" w:rsidRDefault="00000000">
      <w:pPr>
        <w:pStyle w:val="Ttulo1"/>
        <w:numPr>
          <w:ilvl w:val="0"/>
          <w:numId w:val="1"/>
        </w:numPr>
        <w:jc w:val="both"/>
        <w:rPr>
          <w:b/>
          <w:bCs/>
        </w:rPr>
      </w:pPr>
      <w:r>
        <w:rPr>
          <w:b/>
          <w:bCs/>
        </w:rPr>
        <w:t>Introducción</w:t>
      </w:r>
    </w:p>
    <w:p w14:paraId="442A41EA" w14:textId="62A112DE" w:rsidR="00B57E4D" w:rsidRDefault="00567726">
      <w:r>
        <w:t xml:space="preserve">La fermentación representa un pilar biotecnológico clave para la bioeconomía y el desarrollo territorial en regiones como el Gran Chaco Americano, donde la revalorización de las cadenas productivas locales, particularmente la caprina, resulta estratégica. A través de este proceso bioquímico, diversos microorganismos transforman los sustratos en metabolitos de alto valor para la industria alimentaria y farmacéutica (Mathur </w:t>
      </w:r>
      <w:r w:rsidRPr="000E04A5">
        <w:rPr>
          <w:i/>
          <w:iCs/>
        </w:rPr>
        <w:t>et al.</w:t>
      </w:r>
      <w:r>
        <w:t xml:space="preserve"> 2020). En este escenario, las bacterias lácticas se destacan por su capacidad de producir ácido láctico y una amplia gama de compuestos bioactivos que permiten la fortificación nutricional, el desarrollo de alimentos funcionales </w:t>
      </w:r>
      <w:r w:rsidR="00152E8F">
        <w:t xml:space="preserve">y la </w:t>
      </w:r>
      <w:proofErr w:type="spellStart"/>
      <w:r w:rsidR="00152E8F">
        <w:t>biopreservación</w:t>
      </w:r>
      <w:proofErr w:type="spellEnd"/>
      <w:r w:rsidR="00152E8F">
        <w:t xml:space="preserve"> de matrices frente a microorganismos contaminantes (Wang </w:t>
      </w:r>
      <w:r w:rsidR="00152E8F" w:rsidRPr="000E04A5">
        <w:rPr>
          <w:i/>
          <w:iCs/>
        </w:rPr>
        <w:t>et al.</w:t>
      </w:r>
      <w:r w:rsidR="00152E8F">
        <w:t xml:space="preserve"> 2021; </w:t>
      </w:r>
      <w:proofErr w:type="spellStart"/>
      <w:r w:rsidR="00152E8F">
        <w:t>Sionek</w:t>
      </w:r>
      <w:proofErr w:type="spellEnd"/>
      <w:r w:rsidR="00152E8F">
        <w:t xml:space="preserve"> </w:t>
      </w:r>
      <w:r w:rsidR="00152E8F" w:rsidRPr="000E04A5">
        <w:rPr>
          <w:i/>
          <w:iCs/>
        </w:rPr>
        <w:t>et al.</w:t>
      </w:r>
      <w:r w:rsidR="00152E8F">
        <w:t xml:space="preserve"> 2023).</w:t>
      </w:r>
    </w:p>
    <w:p w14:paraId="1D464760" w14:textId="6176AF8D" w:rsidR="00152E8F" w:rsidRDefault="00152E8F">
      <w:r>
        <w:t xml:space="preserve">Muchos de estos metabolitos con potencial biotecnológico son consecuencia directa de la actividad proteolítica de las bacterias lácticas. Este sistema enzimático responde a las necesidades nutricionales de los microorganismos al crecer en matrices ricas en proteínas complejas. La hidrólisis proteica no solo proporciona los aminoácidos esenciales para el desarrollo microbiano, sino que desencadena la liberación de péptidos bioactivos. Dichos fragmentos adquieren notables propiedades antihipertensivas, antioxidantes, antimicrobianas, antitumorales e </w:t>
      </w:r>
      <w:proofErr w:type="spellStart"/>
      <w:r>
        <w:t>inmunomoduladoras</w:t>
      </w:r>
      <w:proofErr w:type="spellEnd"/>
      <w:r>
        <w:t xml:space="preserve"> al ser liberados al medio extracelular durante la fermentación</w:t>
      </w:r>
      <w:r w:rsidR="000E04A5">
        <w:t xml:space="preserve"> (Brown </w:t>
      </w:r>
      <w:r w:rsidR="000E04A5" w:rsidRPr="000E04A5">
        <w:rPr>
          <w:i/>
          <w:iCs/>
        </w:rPr>
        <w:t>et al.</w:t>
      </w:r>
      <w:r w:rsidR="000E04A5">
        <w:t xml:space="preserve"> 2017; </w:t>
      </w:r>
      <w:proofErr w:type="spellStart"/>
      <w:r w:rsidR="000E04A5">
        <w:t>Dai</w:t>
      </w:r>
      <w:proofErr w:type="spellEnd"/>
      <w:r w:rsidR="000E04A5">
        <w:t xml:space="preserve"> </w:t>
      </w:r>
      <w:r w:rsidR="000E04A5" w:rsidRPr="000E04A5">
        <w:rPr>
          <w:i/>
          <w:iCs/>
        </w:rPr>
        <w:t>et al.</w:t>
      </w:r>
      <w:r w:rsidR="000E04A5">
        <w:t xml:space="preserve"> 2025).</w:t>
      </w:r>
    </w:p>
    <w:p w14:paraId="50ACFB8C" w14:textId="123EB305" w:rsidR="00152E8F" w:rsidRDefault="00152E8F">
      <w:r>
        <w:t>La complejidad estructural de estas moléculas hace que la identificación y caracterización peptídica requiera del uso de metodologías analíticas especiales</w:t>
      </w:r>
      <w:r w:rsidR="00F4030F">
        <w:t xml:space="preserve"> (Inci </w:t>
      </w:r>
      <w:r w:rsidR="00F4030F">
        <w:rPr>
          <w:i/>
          <w:iCs/>
        </w:rPr>
        <w:t>et al</w:t>
      </w:r>
      <w:r w:rsidR="00F4030F">
        <w:t>. 2026)</w:t>
      </w:r>
      <w:r>
        <w:t>. La cromatografía líquida de alta resolución acoplada a espectrometría de masas resulta indispensable para determinar la secuencia precisa de los péptidos liberados a la matriz fermentada</w:t>
      </w:r>
      <w:r w:rsidR="00F4030F">
        <w:t xml:space="preserve"> (Luz </w:t>
      </w:r>
      <w:r w:rsidR="00F4030F">
        <w:rPr>
          <w:i/>
          <w:iCs/>
        </w:rPr>
        <w:t>et al</w:t>
      </w:r>
      <w:r w:rsidR="00F4030F">
        <w:t>. 2018)</w:t>
      </w:r>
      <w:r>
        <w:t xml:space="preserve">. </w:t>
      </w:r>
      <w:r w:rsidR="00C52062">
        <w:t xml:space="preserve">Esta información se complementa obligatoriamente con herramientas bioinformáticas y el análisis </w:t>
      </w:r>
      <w:r w:rsidR="00C52062">
        <w:rPr>
          <w:i/>
          <w:iCs/>
        </w:rPr>
        <w:t xml:space="preserve">in </w:t>
      </w:r>
      <w:proofErr w:type="spellStart"/>
      <w:r w:rsidR="00C52062">
        <w:rPr>
          <w:i/>
          <w:iCs/>
        </w:rPr>
        <w:t>silico</w:t>
      </w:r>
      <w:proofErr w:type="spellEnd"/>
      <w:r w:rsidR="00C52062">
        <w:t>, los cuales permiten predecir las potenciales propiedades bioactivas de las secuencias identificadas previamente, optimizando así la selección de cepas lácticas con perfiles proteolíticos prometedores para la innovación agroindustrial</w:t>
      </w:r>
      <w:r w:rsidR="00F4030F">
        <w:t xml:space="preserve"> (Pandey </w:t>
      </w:r>
      <w:r w:rsidR="00F4030F" w:rsidRPr="00F4030F">
        <w:rPr>
          <w:i/>
          <w:iCs/>
        </w:rPr>
        <w:t>et al</w:t>
      </w:r>
      <w:r w:rsidR="00F4030F">
        <w:t>. 2025)</w:t>
      </w:r>
    </w:p>
    <w:p w14:paraId="3B064C47" w14:textId="532DFA6C" w:rsidR="00C52062" w:rsidRPr="003E4A06" w:rsidRDefault="00C52062">
      <w:r>
        <w:lastRenderedPageBreak/>
        <w:t>En este proceso, la matriz alimentaria empleada es determinante para el perfil de metabolitos generados. En la región del Gran Chaco Americano, la leche de cabra constituye un recurso regional de alto valor nutricional, pero con un nivel de procesamiento industrial aún limitado</w:t>
      </w:r>
      <w:r w:rsidR="00390E53">
        <w:t xml:space="preserve"> (Contreras, 2016)</w:t>
      </w:r>
      <w:r>
        <w:t xml:space="preserve">. La leche caprina presenta propiedades dietéticas superiores y menor alergenicidad en comparación con la leche de vaca, induciendo menores respuestas proinflamatorias (Duan </w:t>
      </w:r>
      <w:r w:rsidRPr="0028566F">
        <w:rPr>
          <w:i/>
          <w:iCs/>
        </w:rPr>
        <w:t>et al.</w:t>
      </w:r>
      <w:r>
        <w:t xml:space="preserve"> 2021). Asimismo, su mayor proporción de caseínas β facilita la digestión y reduce trastornos gastrointestinales (Roy </w:t>
      </w:r>
      <w:r w:rsidRPr="0028566F">
        <w:rPr>
          <w:i/>
          <w:iCs/>
        </w:rPr>
        <w:t>et al.</w:t>
      </w:r>
      <w:r>
        <w:t xml:space="preserve"> 2020; Chen </w:t>
      </w:r>
      <w:r w:rsidRPr="0028566F">
        <w:rPr>
          <w:i/>
          <w:iCs/>
        </w:rPr>
        <w:t>et al</w:t>
      </w:r>
      <w:r>
        <w:t xml:space="preserve"> 2022). Aunque su perfil sensorial característico puede condicionar la aceptación del consumidor, la fermentación mediada por bacterias lácticas mejora sus atributos organolépticos y texturales (</w:t>
      </w:r>
      <w:proofErr w:type="spellStart"/>
      <w:r>
        <w:t>Mituniewicz</w:t>
      </w:r>
      <w:proofErr w:type="spellEnd"/>
      <w:r>
        <w:t xml:space="preserve"> </w:t>
      </w:r>
      <w:r w:rsidRPr="0028566F">
        <w:rPr>
          <w:i/>
          <w:iCs/>
        </w:rPr>
        <w:t>et al.</w:t>
      </w:r>
      <w:r>
        <w:t xml:space="preserve"> 2019). Mas aún, la estructura molecular de la caseína caprina la convierte en un sustrato idóneo para maximizar la liberación de péptidos bioactivos y diseñar alimentos funcionales diferenciados</w:t>
      </w:r>
      <w:r w:rsidR="003E4A06">
        <w:t xml:space="preserve"> (Brown </w:t>
      </w:r>
      <w:r w:rsidR="003E4A06">
        <w:rPr>
          <w:i/>
          <w:iCs/>
        </w:rPr>
        <w:t xml:space="preserve">et al. </w:t>
      </w:r>
      <w:r w:rsidR="003E4A06">
        <w:t>2017).</w:t>
      </w:r>
    </w:p>
    <w:p w14:paraId="680C65C4" w14:textId="656CFA9C" w:rsidR="00AA07B7" w:rsidRPr="00EA35AE" w:rsidRDefault="00AA07B7">
      <w:r>
        <w:t>Por otra parte, la biotecnología ofrece una solución sustentable a una de las principales problemáticas ambientales de las cuencas lecheras regionales: la gestión y tratamiento del lactosuero. Este subproducto es habitualmente descartado como efluente, generando un severo impacto negativo en los ecosistemas locales</w:t>
      </w:r>
      <w:r w:rsidR="00EA35AE">
        <w:t xml:space="preserve"> (García </w:t>
      </w:r>
      <w:r w:rsidR="00EA35AE">
        <w:rPr>
          <w:i/>
          <w:iCs/>
        </w:rPr>
        <w:t xml:space="preserve">et al. </w:t>
      </w:r>
      <w:r w:rsidR="00EA35AE">
        <w:t>2013; Contreras, 2016)</w:t>
      </w:r>
      <w:r>
        <w:t>. Sin embargo, bajo un enfoque agroecológico, su elevada riqueza proteica lo convierte en una materia prima estratégica (</w:t>
      </w:r>
      <w:proofErr w:type="spellStart"/>
      <w:r>
        <w:t>Khubber</w:t>
      </w:r>
      <w:proofErr w:type="spellEnd"/>
      <w:r>
        <w:t xml:space="preserve"> </w:t>
      </w:r>
      <w:r w:rsidRPr="00575F00">
        <w:rPr>
          <w:i/>
          <w:iCs/>
        </w:rPr>
        <w:t>et al.</w:t>
      </w:r>
      <w:r>
        <w:t xml:space="preserve"> 2022). La fermentación del lactosuero caprino permite la revalorización de este residuo mediante la bioconversión de sus proteínas en aminoácidos y ciertos péptidos bioactivos, transformando un contaminante ambiental en una fuente sostenible de posibles ingredientes nutracéuticos y farmacológicos de alto valor agregado</w:t>
      </w:r>
      <w:r w:rsidR="00EA35AE">
        <w:t xml:space="preserve"> (Tunick </w:t>
      </w:r>
      <w:r w:rsidR="00EA35AE">
        <w:rPr>
          <w:i/>
          <w:iCs/>
        </w:rPr>
        <w:t xml:space="preserve">et al. </w:t>
      </w:r>
      <w:r w:rsidR="00EA35AE">
        <w:t>2025).</w:t>
      </w:r>
    </w:p>
    <w:p w14:paraId="5427EE4E" w14:textId="532E875D" w:rsidR="00AA07B7" w:rsidRPr="00AA07B7" w:rsidRDefault="00AA07B7">
      <w:r>
        <w:t>En función de lo expuesto, el presente trabajo tiene como objetivo evaluar la aptitud tecnológic</w:t>
      </w:r>
      <w:r w:rsidR="00575F00">
        <w:t>a de la cepa proteolítica</w:t>
      </w:r>
      <w:r>
        <w:t xml:space="preserve"> </w:t>
      </w:r>
      <w:r w:rsidR="003A67AE">
        <w:rPr>
          <w:i/>
          <w:iCs/>
        </w:rPr>
        <w:t>L</w:t>
      </w:r>
      <w:r w:rsidR="003A67AE">
        <w:t>.</w:t>
      </w:r>
      <w:r>
        <w:rPr>
          <w:i/>
          <w:iCs/>
        </w:rPr>
        <w:t xml:space="preserve"> </w:t>
      </w:r>
      <w:proofErr w:type="spellStart"/>
      <w:r>
        <w:rPr>
          <w:i/>
          <w:iCs/>
        </w:rPr>
        <w:t>plantarum</w:t>
      </w:r>
      <w:proofErr w:type="spellEnd"/>
      <w:r>
        <w:rPr>
          <w:i/>
          <w:iCs/>
        </w:rPr>
        <w:t xml:space="preserve"> </w:t>
      </w:r>
      <w:r>
        <w:t>CB2</w:t>
      </w:r>
      <w:r w:rsidR="00575F00">
        <w:t xml:space="preserve"> </w:t>
      </w:r>
      <w:r>
        <w:t xml:space="preserve">en leche y lactosuero de cabra. Asimismo, se determinó el perfil peptídico generado por dicha cepa al ser incubada en caseína pura, y a partir de allí se realizó un análisis </w:t>
      </w:r>
      <w:r>
        <w:rPr>
          <w:i/>
          <w:iCs/>
        </w:rPr>
        <w:t xml:space="preserve">in </w:t>
      </w:r>
      <w:proofErr w:type="spellStart"/>
      <w:r>
        <w:rPr>
          <w:i/>
          <w:iCs/>
        </w:rPr>
        <w:t>silico</w:t>
      </w:r>
      <w:proofErr w:type="spellEnd"/>
      <w:r>
        <w:rPr>
          <w:i/>
          <w:iCs/>
        </w:rPr>
        <w:t xml:space="preserve"> </w:t>
      </w:r>
      <w:r>
        <w:t>para la predicción de potenciales propiedades bioactivas de los péptidos liberados.</w:t>
      </w:r>
    </w:p>
    <w:p w14:paraId="00000014" w14:textId="77777777" w:rsidR="00AF3F97" w:rsidRDefault="00000000">
      <w:pPr>
        <w:numPr>
          <w:ilvl w:val="0"/>
          <w:numId w:val="1"/>
        </w:numPr>
        <w:pBdr>
          <w:top w:val="nil"/>
          <w:left w:val="nil"/>
          <w:bottom w:val="nil"/>
          <w:right w:val="nil"/>
          <w:between w:val="nil"/>
        </w:pBdr>
        <w:spacing w:before="280" w:after="280"/>
        <w:rPr>
          <w:b/>
          <w:bCs/>
          <w:color w:val="000000"/>
        </w:rPr>
      </w:pPr>
      <w:r>
        <w:rPr>
          <w:b/>
          <w:bCs/>
          <w:color w:val="000000"/>
        </w:rPr>
        <w:t>Desarrollo</w:t>
      </w:r>
    </w:p>
    <w:p w14:paraId="6096D423" w14:textId="511E0297" w:rsidR="002949EE" w:rsidRDefault="002D0C05">
      <w:pPr>
        <w:rPr>
          <w:i/>
          <w:iCs/>
        </w:rPr>
      </w:pPr>
      <w:r w:rsidRPr="002D0C05">
        <w:rPr>
          <w:i/>
          <w:iCs/>
        </w:rPr>
        <w:t>Análisis pr</w:t>
      </w:r>
      <w:r>
        <w:rPr>
          <w:i/>
          <w:iCs/>
        </w:rPr>
        <w:t>o</w:t>
      </w:r>
      <w:r w:rsidRPr="002D0C05">
        <w:rPr>
          <w:i/>
          <w:iCs/>
        </w:rPr>
        <w:t>ximal de la leche de cabra</w:t>
      </w:r>
    </w:p>
    <w:p w14:paraId="63011E1C" w14:textId="6FDD4070" w:rsidR="00E42D19" w:rsidRPr="00E42D19" w:rsidRDefault="002D0C05">
      <w:r>
        <w:t>Las muestras crudas de leche de cabra fueron recolectadas en Los Pocitos, Santiago del Estero, Argentina. Las muestras fueron transportadas y refrigeradas a 4 °C hasta su tratamiento experimental. El análisis proximal de las muestras de leche de cabra se realizó mediante el empleo de un analizador de leche por ultrasonido.</w:t>
      </w:r>
    </w:p>
    <w:p w14:paraId="4CAAEFF5" w14:textId="77777777" w:rsidR="00BB08A0" w:rsidRDefault="00BB08A0">
      <w:pPr>
        <w:rPr>
          <w:i/>
          <w:iCs/>
        </w:rPr>
      </w:pPr>
    </w:p>
    <w:p w14:paraId="76844047" w14:textId="15FE024D" w:rsidR="002949EE" w:rsidRDefault="002D0C05">
      <w:pPr>
        <w:rPr>
          <w:i/>
          <w:iCs/>
        </w:rPr>
      </w:pPr>
      <w:r>
        <w:rPr>
          <w:i/>
          <w:iCs/>
        </w:rPr>
        <w:lastRenderedPageBreak/>
        <w:t xml:space="preserve">Fermentación y seguimiento de la vida útil refrigerada de leche de cabra con una bacteria </w:t>
      </w:r>
      <w:r w:rsidR="00E42D19">
        <w:rPr>
          <w:i/>
          <w:iCs/>
        </w:rPr>
        <w:t xml:space="preserve">láctica proteolítica </w:t>
      </w:r>
    </w:p>
    <w:p w14:paraId="1C0088FC" w14:textId="2FB60FAE" w:rsidR="002D0C05" w:rsidRPr="00D535C3" w:rsidRDefault="003A67AE">
      <w:r>
        <w:t xml:space="preserve">Previamente, la leche fue pasteurizada (85 °C, 15 min) y enfriada hasta los 40 °C, aproximadamente. Luego, siguiendo el protocolo descripto en Melia </w:t>
      </w:r>
      <w:r>
        <w:rPr>
          <w:i/>
          <w:iCs/>
        </w:rPr>
        <w:t xml:space="preserve">et al. </w:t>
      </w:r>
      <w:r>
        <w:t xml:space="preserve">(2024), se realizó el recuento de coliformes y mesófilos totales mediante una siembra directa de las leches en los medios PCA y MacConkey, respectivamente. Posteriormente, la cepa </w:t>
      </w:r>
      <w:r>
        <w:rPr>
          <w:i/>
          <w:iCs/>
        </w:rPr>
        <w:t xml:space="preserve">L. </w:t>
      </w:r>
      <w:proofErr w:type="spellStart"/>
      <w:r>
        <w:rPr>
          <w:i/>
          <w:iCs/>
        </w:rPr>
        <w:t>plantarum</w:t>
      </w:r>
      <w:proofErr w:type="spellEnd"/>
      <w:r>
        <w:rPr>
          <w:i/>
          <w:iCs/>
        </w:rPr>
        <w:t xml:space="preserve"> </w:t>
      </w:r>
      <w:r>
        <w:t>CB2 fue inoculada</w:t>
      </w:r>
      <w:r w:rsidR="00D535C3">
        <w:t>, a una densidad óptica (DO</w:t>
      </w:r>
      <w:r w:rsidR="00D535C3">
        <w:rPr>
          <w:vertAlign w:val="subscript"/>
        </w:rPr>
        <w:t>600</w:t>
      </w:r>
      <w:r w:rsidR="00D535C3">
        <w:t>) de 0,05,</w:t>
      </w:r>
      <w:r>
        <w:t xml:space="preserve"> en 50 mL de leche de cabra suplementada con glucosa al 1 %.</w:t>
      </w:r>
      <w:r w:rsidR="00D535C3">
        <w:t xml:space="preserve"> Las muestras fueron fermentadas durante 24 h y a 37 °C, y se tomaron muestras al inicio y al final de la incubación; como así también al inicio, y cada 7 días, hasta el final de la conservación en frío. </w:t>
      </w:r>
      <w:r w:rsidR="006B77A1">
        <w:t xml:space="preserve">A </w:t>
      </w:r>
      <w:r w:rsidR="00D535C3">
        <w:t xml:space="preserve">partir de estas muestras se evaluó el crecimiento microbiano por recuento en placa, la producción de aminoácidos a través de la técnica del </w:t>
      </w:r>
      <w:r w:rsidR="00D535C3">
        <w:rPr>
          <w:i/>
          <w:iCs/>
        </w:rPr>
        <w:t>o</w:t>
      </w:r>
      <w:r w:rsidR="00D535C3">
        <w:t>-</w:t>
      </w:r>
      <w:proofErr w:type="spellStart"/>
      <w:r w:rsidR="00D535C3">
        <w:t>ftaladialdehído</w:t>
      </w:r>
      <w:proofErr w:type="spellEnd"/>
      <w:r w:rsidR="00D535C3">
        <w:t xml:space="preserve"> (OPA), el pH usando electrodos de vidrio y la producción de ácido láctico mediante titulaciones con solución </w:t>
      </w:r>
      <w:proofErr w:type="spellStart"/>
      <w:r w:rsidR="00D535C3">
        <w:t>Dornic</w:t>
      </w:r>
      <w:proofErr w:type="spellEnd"/>
      <w:r w:rsidR="00D535C3">
        <w:t xml:space="preserve"> (NaOH 0,11 N).</w:t>
      </w:r>
    </w:p>
    <w:p w14:paraId="379A0BF3" w14:textId="77777777" w:rsidR="002D0C05" w:rsidRDefault="002D0C05"/>
    <w:p w14:paraId="789CBAC5" w14:textId="74CF9491" w:rsidR="002949EE" w:rsidRDefault="006B77A1">
      <w:pPr>
        <w:rPr>
          <w:i/>
          <w:iCs/>
        </w:rPr>
      </w:pPr>
      <w:r>
        <w:rPr>
          <w:i/>
          <w:iCs/>
        </w:rPr>
        <w:t>Evaluación tecnológica de la fermentación del lactosuero de cabra con una bacteria láctica proteolítica</w:t>
      </w:r>
    </w:p>
    <w:p w14:paraId="0560FE8D" w14:textId="121988AB" w:rsidR="006B77A1" w:rsidRPr="002949EE" w:rsidRDefault="006B77A1">
      <w:pPr>
        <w:rPr>
          <w:i/>
          <w:iCs/>
        </w:rPr>
      </w:pPr>
      <w:r>
        <w:t xml:space="preserve">El lactosuero fue obtenido por descarte de la producción de queso artesanal en la misma localidad antes mencionada. Este subproducto fue pasteurizado bajo las mismas condiciones anteriores, realizándose luego, el correspondiente control de coliformes y mesófilos totales. La cepa </w:t>
      </w:r>
      <w:r>
        <w:rPr>
          <w:i/>
          <w:iCs/>
        </w:rPr>
        <w:t xml:space="preserve">L. </w:t>
      </w:r>
      <w:proofErr w:type="spellStart"/>
      <w:r>
        <w:rPr>
          <w:i/>
          <w:iCs/>
        </w:rPr>
        <w:t>plantarum</w:t>
      </w:r>
      <w:proofErr w:type="spellEnd"/>
      <w:r>
        <w:rPr>
          <w:i/>
          <w:iCs/>
        </w:rPr>
        <w:t xml:space="preserve"> </w:t>
      </w:r>
      <w:r>
        <w:t>CB2 fue inoculada, a una DO</w:t>
      </w:r>
      <w:r>
        <w:rPr>
          <w:vertAlign w:val="subscript"/>
        </w:rPr>
        <w:t>600</w:t>
      </w:r>
      <w:r>
        <w:t xml:space="preserve"> de 0,05, e incubada durante 24 h y 37 °C. Las muestras fueron tomadas al inicio, a las 4 y a las 24 h del proceso de fermentación. A partir de las muestras tomadas se evaluó el crecimiento microbiano, el pH y la producción de aminoácidos. </w:t>
      </w:r>
    </w:p>
    <w:p w14:paraId="3429EE20" w14:textId="77777777" w:rsidR="006B77A1" w:rsidRDefault="006B77A1"/>
    <w:p w14:paraId="20C35505" w14:textId="303972E7" w:rsidR="008E12A1" w:rsidRDefault="008A5661">
      <w:pPr>
        <w:rPr>
          <w:i/>
          <w:iCs/>
        </w:rPr>
      </w:pPr>
      <w:r>
        <w:rPr>
          <w:i/>
          <w:iCs/>
        </w:rPr>
        <w:t>Preparación del microorganismo y f</w:t>
      </w:r>
      <w:r w:rsidR="006B77A1">
        <w:rPr>
          <w:i/>
          <w:iCs/>
        </w:rPr>
        <w:t>ermentación de caseína</w:t>
      </w:r>
    </w:p>
    <w:p w14:paraId="0B3CEF2E" w14:textId="587EC4C3" w:rsidR="006B77A1" w:rsidRDefault="006B77A1">
      <w:r>
        <w:t xml:space="preserve">La cepa </w:t>
      </w:r>
      <w:r>
        <w:rPr>
          <w:i/>
          <w:iCs/>
        </w:rPr>
        <w:t xml:space="preserve">L. </w:t>
      </w:r>
      <w:proofErr w:type="spellStart"/>
      <w:r>
        <w:rPr>
          <w:i/>
          <w:iCs/>
        </w:rPr>
        <w:t>plantarum</w:t>
      </w:r>
      <w:proofErr w:type="spellEnd"/>
      <w:r>
        <w:rPr>
          <w:i/>
          <w:iCs/>
        </w:rPr>
        <w:t xml:space="preserve"> </w:t>
      </w:r>
      <w:r>
        <w:t xml:space="preserve">CB2 fue crecida en un medio de cultivo químicamente definido (CDM, por sus siglas en ingles), durante toda la noche y a 37 °C. </w:t>
      </w:r>
      <w:r w:rsidR="008A5661">
        <w:t xml:space="preserve">El microorganismo fue cosechado y lavado dos veces con solución fisiológica estéril. Por último, el cultivo fue resuspendido y concentrado en una solución tampón de fosfato de sodio 20 </w:t>
      </w:r>
      <w:proofErr w:type="spellStart"/>
      <w:r w:rsidR="008A5661">
        <w:t>mM</w:t>
      </w:r>
      <w:proofErr w:type="spellEnd"/>
      <w:r w:rsidR="008A5661">
        <w:t xml:space="preserve"> (pH 7,2). Esta suspensión celular fue mezclada, en igual proporción, con una solución de caseína, también preparada en la misma solución tamponada. La mezcla de reacción fue incubada durante 24 h y a 37 °C. Las tomas de muestra se realizaron al inicio y al final de la incubación. </w:t>
      </w:r>
    </w:p>
    <w:p w14:paraId="75FA203A" w14:textId="77777777" w:rsidR="008A5661" w:rsidRDefault="008A5661"/>
    <w:p w14:paraId="6F93960E" w14:textId="7A34A3CD" w:rsidR="008E12A1" w:rsidRDefault="008A5661">
      <w:pPr>
        <w:rPr>
          <w:i/>
          <w:iCs/>
        </w:rPr>
      </w:pPr>
      <w:r>
        <w:rPr>
          <w:i/>
          <w:iCs/>
        </w:rPr>
        <w:lastRenderedPageBreak/>
        <w:t>Liofilización de las muestras</w:t>
      </w:r>
    </w:p>
    <w:p w14:paraId="540595F1" w14:textId="481F307A" w:rsidR="008A5661" w:rsidRDefault="008A5661">
      <w:r>
        <w:t xml:space="preserve">Las muestras de cada mezcla de reacción, correspondientes al inicio y al final de la fermentación, fueron liofilizadas durante 48 h, a -40 °C y 0,001 </w:t>
      </w:r>
      <w:proofErr w:type="spellStart"/>
      <w:r>
        <w:t>μHg</w:t>
      </w:r>
      <w:proofErr w:type="spellEnd"/>
      <w:r>
        <w:t>.</w:t>
      </w:r>
    </w:p>
    <w:p w14:paraId="727AA961" w14:textId="124BD997" w:rsidR="008A5661" w:rsidRDefault="008A5661"/>
    <w:p w14:paraId="6FD1365B" w14:textId="01D2405A" w:rsidR="008E12A1" w:rsidRDefault="008A5661">
      <w:pPr>
        <w:rPr>
          <w:i/>
          <w:iCs/>
        </w:rPr>
      </w:pPr>
      <w:r>
        <w:rPr>
          <w:i/>
          <w:iCs/>
        </w:rPr>
        <w:t xml:space="preserve">Análisis del perfil </w:t>
      </w:r>
      <w:proofErr w:type="spellStart"/>
      <w:r>
        <w:rPr>
          <w:i/>
          <w:iCs/>
        </w:rPr>
        <w:t>peptidómico</w:t>
      </w:r>
      <w:proofErr w:type="spellEnd"/>
      <w:r>
        <w:rPr>
          <w:i/>
          <w:iCs/>
        </w:rPr>
        <w:t xml:space="preserve"> del hidrolizado de caseína </w:t>
      </w:r>
    </w:p>
    <w:p w14:paraId="7CA76B54" w14:textId="47D920EE" w:rsidR="008A5661" w:rsidRDefault="008A5661">
      <w:r>
        <w:t>Las muestras liofilizadas fueron procesadas en el cromatógrafo líquido de alta resolución acoplado a un espectrómetro de masas pertenecientes al Instituto de Patología Experimental (IPE-CONICET/</w:t>
      </w:r>
      <w:proofErr w:type="spellStart"/>
      <w:r>
        <w:t>UNSa</w:t>
      </w:r>
      <w:proofErr w:type="spellEnd"/>
      <w:r>
        <w:t xml:space="preserve">, Salta, Argentina), siguiendo el protocolo descripto en Öztürk </w:t>
      </w:r>
      <w:r w:rsidRPr="008A5661">
        <w:rPr>
          <w:i/>
          <w:iCs/>
        </w:rPr>
        <w:t>et al.</w:t>
      </w:r>
      <w:r>
        <w:t xml:space="preserve"> (2026).</w:t>
      </w:r>
      <w:r w:rsidR="003B4219">
        <w:t xml:space="preserve"> Para ello, las muestras de 25 mg aproximadamente se disolvieron, filtraron y </w:t>
      </w:r>
      <w:proofErr w:type="spellStart"/>
      <w:r w:rsidR="003B4219">
        <w:t>resuspendieron</w:t>
      </w:r>
      <w:proofErr w:type="spellEnd"/>
      <w:r w:rsidR="003B4219">
        <w:t xml:space="preserve"> en acetonitrilo al 2 % con ácido </w:t>
      </w:r>
      <w:proofErr w:type="spellStart"/>
      <w:r w:rsidR="003B4219">
        <w:t>trifluoroacético</w:t>
      </w:r>
      <w:proofErr w:type="spellEnd"/>
      <w:r w:rsidR="003B4219">
        <w:t xml:space="preserve"> al 0,1 %. La muestra fue inyecta en un volumen de 1 </w:t>
      </w:r>
      <w:proofErr w:type="spellStart"/>
      <w:r w:rsidR="003B4219">
        <w:t>μL</w:t>
      </w:r>
      <w:proofErr w:type="spellEnd"/>
      <w:r w:rsidR="003B4219">
        <w:t xml:space="preserve">. La separación cromatográfica (columna C18, 25 cm × 75 </w:t>
      </w:r>
      <w:proofErr w:type="spellStart"/>
      <w:r w:rsidR="00B52F17">
        <w:t>μm</w:t>
      </w:r>
      <w:proofErr w:type="spellEnd"/>
      <w:r w:rsidR="00B52F17">
        <w:t xml:space="preserve">, 1,9 </w:t>
      </w:r>
      <w:proofErr w:type="spellStart"/>
      <w:r w:rsidR="00B52F17">
        <w:t>μm</w:t>
      </w:r>
      <w:proofErr w:type="spellEnd"/>
      <w:r w:rsidR="00B52F17">
        <w:t xml:space="preserve">, 40 °C) empleó un gradiente de 80 min a 0,4 </w:t>
      </w:r>
      <w:proofErr w:type="spellStart"/>
      <w:r w:rsidR="00B52F17">
        <w:t>μL</w:t>
      </w:r>
      <w:proofErr w:type="spellEnd"/>
      <w:r w:rsidR="00B52F17">
        <w:t xml:space="preserve">/min con ácido fórmico al 0,1 % en agua (fase A) y en acetonitrilo (fase B). Los péptidos se analizaron mediante un sistema de espectrometría de masas de tiempo de vuelo con cuadrupolo </w:t>
      </w:r>
      <w:proofErr w:type="gramStart"/>
      <w:r w:rsidR="00B52F17">
        <w:t>e</w:t>
      </w:r>
      <w:proofErr w:type="gramEnd"/>
      <w:r w:rsidR="00B52F17">
        <w:t xml:space="preserve"> ionización por </w:t>
      </w:r>
      <w:proofErr w:type="spellStart"/>
      <w:r w:rsidR="00B52F17">
        <w:t>electrospray</w:t>
      </w:r>
      <w:proofErr w:type="spellEnd"/>
      <w:r w:rsidR="00B52F17">
        <w:t xml:space="preserve"> acoplado a una unidad de </w:t>
      </w:r>
      <w:proofErr w:type="spellStart"/>
      <w:r w:rsidR="00B52F17">
        <w:t>nanocromatografía</w:t>
      </w:r>
      <w:proofErr w:type="spellEnd"/>
      <w:r w:rsidR="00B52F17">
        <w:t xml:space="preserve"> líquida (180 °C, 4500 V). Los espectros fueron obtenidos con una resolución próxima a 80000.</w:t>
      </w:r>
    </w:p>
    <w:p w14:paraId="5E134AD6" w14:textId="77777777" w:rsidR="008E12A1" w:rsidRDefault="008E12A1"/>
    <w:p w14:paraId="7AFA46CD" w14:textId="37A10FA6" w:rsidR="008E12A1" w:rsidRDefault="008E12A1">
      <w:pPr>
        <w:rPr>
          <w:i/>
          <w:iCs/>
        </w:rPr>
      </w:pPr>
      <w:r>
        <w:rPr>
          <w:i/>
          <w:iCs/>
        </w:rPr>
        <w:t xml:space="preserve">Análisis in </w:t>
      </w:r>
      <w:proofErr w:type="spellStart"/>
      <w:r>
        <w:rPr>
          <w:i/>
          <w:iCs/>
        </w:rPr>
        <w:t>silico</w:t>
      </w:r>
      <w:proofErr w:type="spellEnd"/>
      <w:r>
        <w:rPr>
          <w:i/>
          <w:iCs/>
        </w:rPr>
        <w:t xml:space="preserve"> para la identificación de péptidos</w:t>
      </w:r>
    </w:p>
    <w:p w14:paraId="4F21B257" w14:textId="66DB511B" w:rsidR="002949EE" w:rsidRDefault="002949EE">
      <w:r>
        <w:t xml:space="preserve">La identificación de las secuencias peptídicas, a partir de los datos crudos (relaciones masa/carga e intensidades de pico), se realizó utilizando la herramienta bioinformática </w:t>
      </w:r>
      <w:proofErr w:type="spellStart"/>
      <w:r>
        <w:t>FindPept</w:t>
      </w:r>
      <w:proofErr w:type="spellEnd"/>
      <w:r>
        <w:t xml:space="preserve">, ubicada en el servidor </w:t>
      </w:r>
      <w:proofErr w:type="spellStart"/>
      <w:r>
        <w:t>ExPASy</w:t>
      </w:r>
      <w:proofErr w:type="spellEnd"/>
      <w:r>
        <w:t xml:space="preserve"> (</w:t>
      </w:r>
      <w:hyperlink r:id="rId8" w:history="1">
        <w:r w:rsidRPr="005B67D1">
          <w:rPr>
            <w:rStyle w:val="Hipervnculo"/>
          </w:rPr>
          <w:t>https://web.expasy.org/findpept/</w:t>
        </w:r>
      </w:hyperlink>
      <w:r>
        <w:t xml:space="preserve">). </w:t>
      </w:r>
      <w:r w:rsidR="00D5200D">
        <w:t>Este servidor permite identificar y caracterizar masas peptídicas obtenidas por espectrometría de masas a partir de una digestión enzimática previa (</w:t>
      </w:r>
      <w:proofErr w:type="spellStart"/>
      <w:r w:rsidR="00D5200D">
        <w:t>Gattiker</w:t>
      </w:r>
      <w:proofErr w:type="spellEnd"/>
      <w:r w:rsidR="00D5200D">
        <w:t xml:space="preserve"> </w:t>
      </w:r>
      <w:r w:rsidR="00D5200D">
        <w:rPr>
          <w:i/>
          <w:iCs/>
        </w:rPr>
        <w:t xml:space="preserve">et al. </w:t>
      </w:r>
      <w:r w:rsidR="00D5200D">
        <w:t xml:space="preserve">2002). </w:t>
      </w:r>
      <w:r>
        <w:t>La búsqueda se configuró con una tolerancia de masa de ± 0,05 Da frente a las secuencias de las proteínas patrones: caseínas α</w:t>
      </w:r>
      <w:r>
        <w:rPr>
          <w:vertAlign w:val="subscript"/>
        </w:rPr>
        <w:t>S1</w:t>
      </w:r>
      <w:r>
        <w:t xml:space="preserve"> (ID: P02662), α</w:t>
      </w:r>
      <w:r>
        <w:rPr>
          <w:vertAlign w:val="subscript"/>
        </w:rPr>
        <w:t xml:space="preserve">S2 </w:t>
      </w:r>
      <w:r>
        <w:t xml:space="preserve">(ID: P02663), β (ID: P02666) y </w:t>
      </w:r>
      <w:r w:rsidRPr="002949EE">
        <w:t>κ</w:t>
      </w:r>
      <w:r>
        <w:t xml:space="preserve"> (ID: P02668).</w:t>
      </w:r>
    </w:p>
    <w:p w14:paraId="27BCACBA" w14:textId="77777777" w:rsidR="002949EE" w:rsidRDefault="002949EE"/>
    <w:p w14:paraId="5637D1EB" w14:textId="1C3F36AC" w:rsidR="002949EE" w:rsidRDefault="002949EE">
      <w:pPr>
        <w:rPr>
          <w:i/>
          <w:iCs/>
        </w:rPr>
      </w:pPr>
      <w:r>
        <w:rPr>
          <w:i/>
          <w:iCs/>
        </w:rPr>
        <w:t>Comparación de los fragmentos peptídicos del hidrolizado</w:t>
      </w:r>
    </w:p>
    <w:p w14:paraId="6E0FC183" w14:textId="4EEAB9F5" w:rsidR="002949EE" w:rsidRDefault="002949EE">
      <w:r>
        <w:t>Las secuencias de los péptidos identificados fueron cargadas en la plataforma BIOPEP-UWM (</w:t>
      </w:r>
      <w:hyperlink r:id="rId9" w:history="1">
        <w:r w:rsidRPr="005B67D1">
          <w:rPr>
            <w:rStyle w:val="Hipervnculo"/>
          </w:rPr>
          <w:t>https://biochemia.uwm.edu.pI/biopep/peptide_data.php</w:t>
        </w:r>
      </w:hyperlink>
      <w:r>
        <w:t xml:space="preserve">) para compararlos con aquellos que se encuentran reportados en la literatura científica y presentan bioactividad (Minkiewicz </w:t>
      </w:r>
      <w:r>
        <w:rPr>
          <w:i/>
          <w:iCs/>
        </w:rPr>
        <w:t xml:space="preserve">et al. </w:t>
      </w:r>
      <w:r>
        <w:t>2019).</w:t>
      </w:r>
    </w:p>
    <w:p w14:paraId="2096DF49" w14:textId="77777777" w:rsidR="002949EE" w:rsidRDefault="002949EE"/>
    <w:p w14:paraId="532F66F9" w14:textId="36009334" w:rsidR="002949EE" w:rsidRDefault="00B128D5">
      <w:pPr>
        <w:rPr>
          <w:i/>
          <w:iCs/>
        </w:rPr>
      </w:pPr>
      <w:r>
        <w:rPr>
          <w:i/>
          <w:iCs/>
        </w:rPr>
        <w:lastRenderedPageBreak/>
        <w:t xml:space="preserve">Predicción in </w:t>
      </w:r>
      <w:proofErr w:type="spellStart"/>
      <w:r>
        <w:rPr>
          <w:i/>
          <w:iCs/>
        </w:rPr>
        <w:t>silico</w:t>
      </w:r>
      <w:proofErr w:type="spellEnd"/>
      <w:r>
        <w:rPr>
          <w:i/>
          <w:iCs/>
        </w:rPr>
        <w:t xml:space="preserve"> de la bioactividad de los fragmentos peptídicos del hidrolizado</w:t>
      </w:r>
    </w:p>
    <w:p w14:paraId="73244081" w14:textId="29AD8197" w:rsidR="00B128D5" w:rsidRDefault="00B128D5">
      <w:r>
        <w:t xml:space="preserve">Esto fue realizado mediante el uso de la plataforma </w:t>
      </w:r>
      <w:proofErr w:type="spellStart"/>
      <w:r>
        <w:t>PeptideRanker</w:t>
      </w:r>
      <w:proofErr w:type="spellEnd"/>
      <w:r>
        <w:t xml:space="preserve"> (</w:t>
      </w:r>
      <w:hyperlink r:id="rId10" w:history="1">
        <w:r w:rsidRPr="005B67D1">
          <w:rPr>
            <w:rStyle w:val="Hipervnculo"/>
          </w:rPr>
          <w:t>https://peptide.ucd.ie/peptideranker</w:t>
        </w:r>
      </w:hyperlink>
      <w:r>
        <w:t xml:space="preserve">). Esta herramienta bioinformática predice la bioactividad de péptidos a través de un modelo de red neuronal. Las puntuaciones oscilan entre 0 y 1, donde 0 indica la ausencia de probabilidad de bioactividad y 1 representa una probabilidad del 100 %. El servidor </w:t>
      </w:r>
      <w:proofErr w:type="spellStart"/>
      <w:r>
        <w:t>PeptideRanker</w:t>
      </w:r>
      <w:proofErr w:type="spellEnd"/>
      <w:r>
        <w:t xml:space="preserve"> considera como potenciales bioactivos a aquellos péptidos con una puntuación superior a 0,5 (Mooney </w:t>
      </w:r>
      <w:r>
        <w:rPr>
          <w:i/>
          <w:iCs/>
        </w:rPr>
        <w:t xml:space="preserve">et al. </w:t>
      </w:r>
      <w:r>
        <w:t>2012).</w:t>
      </w:r>
    </w:p>
    <w:p w14:paraId="4AEBE15B" w14:textId="77777777" w:rsidR="00B128D5" w:rsidRDefault="00B128D5"/>
    <w:p w14:paraId="3781A3E4" w14:textId="68FC61A9" w:rsidR="00B128D5" w:rsidRDefault="00B128D5">
      <w:pPr>
        <w:rPr>
          <w:i/>
          <w:iCs/>
        </w:rPr>
      </w:pPr>
      <w:r>
        <w:rPr>
          <w:i/>
          <w:iCs/>
        </w:rPr>
        <w:t xml:space="preserve">Predicción in </w:t>
      </w:r>
      <w:proofErr w:type="spellStart"/>
      <w:r>
        <w:rPr>
          <w:i/>
          <w:iCs/>
        </w:rPr>
        <w:t>silico</w:t>
      </w:r>
      <w:proofErr w:type="spellEnd"/>
      <w:r>
        <w:rPr>
          <w:i/>
          <w:iCs/>
        </w:rPr>
        <w:t xml:space="preserve"> de la toxicidad de los fragmentos peptídicos del hidrolizado</w:t>
      </w:r>
    </w:p>
    <w:p w14:paraId="5F6CF648" w14:textId="77777777" w:rsidR="006D6AD2" w:rsidRDefault="00B128D5">
      <w:r>
        <w:t xml:space="preserve">Cada uno de los péptidos identificados fue evaluado por </w:t>
      </w:r>
      <w:proofErr w:type="spellStart"/>
      <w:r>
        <w:t>ToxinPred</w:t>
      </w:r>
      <w:proofErr w:type="spellEnd"/>
      <w:r>
        <w:t xml:space="preserve"> 3.0 (</w:t>
      </w:r>
      <w:hyperlink r:id="rId11" w:history="1">
        <w:r w:rsidRPr="005B67D1">
          <w:rPr>
            <w:rStyle w:val="Hipervnculo"/>
          </w:rPr>
          <w:t>https://webs.iiitd.edu.in/raghava/toxinpred3/prediction.php</w:t>
        </w:r>
      </w:hyperlink>
      <w:r>
        <w:t xml:space="preserve">), una herramienta bioinformática entrenada mediante modelos de aprendizaje automático. La plataforma clasificó cada secuencia como “tóxica” o “no tóxica”, basándose en su propio conjunto de datos, el cual reúne péptidos validados experimentalmente como antimicrobianos y citotóxicos (Rathore </w:t>
      </w:r>
      <w:r>
        <w:rPr>
          <w:i/>
          <w:iCs/>
        </w:rPr>
        <w:t xml:space="preserve">et al. </w:t>
      </w:r>
      <w:r>
        <w:t>2024).</w:t>
      </w:r>
    </w:p>
    <w:p w14:paraId="603CE1BE" w14:textId="77777777" w:rsidR="006D6AD2" w:rsidRDefault="006D6AD2"/>
    <w:p w14:paraId="5EBB91C5" w14:textId="70F5C184" w:rsidR="006D6AD2" w:rsidRDefault="006D6AD2">
      <w:pPr>
        <w:rPr>
          <w:i/>
          <w:iCs/>
        </w:rPr>
      </w:pPr>
      <w:r>
        <w:rPr>
          <w:i/>
          <w:iCs/>
        </w:rPr>
        <w:t xml:space="preserve">Predicción in </w:t>
      </w:r>
      <w:proofErr w:type="spellStart"/>
      <w:r>
        <w:rPr>
          <w:i/>
          <w:iCs/>
        </w:rPr>
        <w:t>silico</w:t>
      </w:r>
      <w:proofErr w:type="spellEnd"/>
      <w:r>
        <w:rPr>
          <w:i/>
          <w:iCs/>
        </w:rPr>
        <w:t xml:space="preserve"> de la actividad antimicrobiana de los fragmentos peptídicos del hidrolizado</w:t>
      </w:r>
    </w:p>
    <w:p w14:paraId="58D38F9B" w14:textId="2FE330BA" w:rsidR="006D6AD2" w:rsidRDefault="006D6AD2">
      <w:r>
        <w:t>La actividad antimicrobiana de los péptidos identificados fue evaluada mediante el uso del servidor CAMP</w:t>
      </w:r>
      <w:r>
        <w:rPr>
          <w:vertAlign w:val="subscript"/>
        </w:rPr>
        <w:t>R4</w:t>
      </w:r>
      <w:r>
        <w:t xml:space="preserve"> (</w:t>
      </w:r>
      <w:hyperlink r:id="rId12" w:history="1">
        <w:r w:rsidRPr="005B67D1">
          <w:rPr>
            <w:rStyle w:val="Hipervnculo"/>
          </w:rPr>
          <w:t>https://camp.bicnirrh.res.in</w:t>
        </w:r>
      </w:hyperlink>
      <w:r>
        <w:t xml:space="preserve">). El mismo calcula la probabilidad de que una secuencia peptídica presente actividad antimicrobiana mediante modelos de Random Forest, </w:t>
      </w:r>
      <w:proofErr w:type="spellStart"/>
      <w:r>
        <w:t>Support</w:t>
      </w:r>
      <w:proofErr w:type="spellEnd"/>
      <w:r>
        <w:t xml:space="preserve"> Vector Machine y redes neuronales artificiales. Los péptidos cargados reciben una puntuación de 0 a 1, y solo </w:t>
      </w:r>
      <w:proofErr w:type="spellStart"/>
      <w:r>
        <w:t>aquellso</w:t>
      </w:r>
      <w:proofErr w:type="spellEnd"/>
      <w:r>
        <w:t xml:space="preserve"> que fueran puntuados en valores iguales o mayores a 0,5 fueron considerados como potenciales antimicrobianos (</w:t>
      </w:r>
      <w:proofErr w:type="spellStart"/>
      <w:r>
        <w:t>Gawde</w:t>
      </w:r>
      <w:proofErr w:type="spellEnd"/>
      <w:r>
        <w:t xml:space="preserve"> </w:t>
      </w:r>
      <w:r>
        <w:rPr>
          <w:i/>
          <w:iCs/>
        </w:rPr>
        <w:t xml:space="preserve">et al. </w:t>
      </w:r>
      <w:r>
        <w:t>2023).</w:t>
      </w:r>
    </w:p>
    <w:p w14:paraId="2670E6DD" w14:textId="77777777" w:rsidR="006D6AD2" w:rsidRDefault="006D6AD2"/>
    <w:p w14:paraId="6DF38338" w14:textId="6EF731CF" w:rsidR="006D6AD2" w:rsidRDefault="006D6AD2">
      <w:pPr>
        <w:rPr>
          <w:i/>
          <w:iCs/>
        </w:rPr>
      </w:pPr>
      <w:r>
        <w:rPr>
          <w:i/>
          <w:iCs/>
        </w:rPr>
        <w:t xml:space="preserve">Predicción in </w:t>
      </w:r>
      <w:proofErr w:type="spellStart"/>
      <w:r>
        <w:rPr>
          <w:i/>
          <w:iCs/>
        </w:rPr>
        <w:t>silico</w:t>
      </w:r>
      <w:proofErr w:type="spellEnd"/>
      <w:r>
        <w:rPr>
          <w:i/>
          <w:iCs/>
        </w:rPr>
        <w:t xml:space="preserve"> de la actividad anticancerígena de los fragmentos peptídicos del hidrolizado</w:t>
      </w:r>
    </w:p>
    <w:p w14:paraId="75761867" w14:textId="20AD755A" w:rsidR="006D6AD2" w:rsidRDefault="006D6AD2">
      <w:r>
        <w:t xml:space="preserve">Las propiedades anticancerígenas de los péptidos identificados fueron analizadas mediante el empleo de la plataforma </w:t>
      </w:r>
      <w:proofErr w:type="spellStart"/>
      <w:r>
        <w:t>AntiCP</w:t>
      </w:r>
      <w:proofErr w:type="spellEnd"/>
      <w:r>
        <w:t xml:space="preserve"> 2.0 (</w:t>
      </w:r>
      <w:hyperlink r:id="rId13" w:history="1">
        <w:r w:rsidRPr="005B67D1">
          <w:rPr>
            <w:rStyle w:val="Hipervnculo"/>
          </w:rPr>
          <w:t>https://webs.iiitd.edu.in/raghava/anticp2/</w:t>
        </w:r>
      </w:hyperlink>
      <w:r>
        <w:t xml:space="preserve">). Esta herramienta bioinformática predice potenciales anticancerígenos mediante modelos de aprendizaje automático, tales como Random Forest y Extra Trees (Agrawal </w:t>
      </w:r>
      <w:r>
        <w:rPr>
          <w:i/>
          <w:iCs/>
        </w:rPr>
        <w:t xml:space="preserve">et al. </w:t>
      </w:r>
      <w:r>
        <w:t>2021).</w:t>
      </w:r>
    </w:p>
    <w:p w14:paraId="512D75BE" w14:textId="77777777" w:rsidR="00B0525A" w:rsidRDefault="00B0525A"/>
    <w:p w14:paraId="31CABE54" w14:textId="327F565D" w:rsidR="00B0525A" w:rsidRDefault="00B0525A">
      <w:pPr>
        <w:rPr>
          <w:i/>
          <w:iCs/>
        </w:rPr>
      </w:pPr>
      <w:r>
        <w:rPr>
          <w:i/>
          <w:iCs/>
        </w:rPr>
        <w:t xml:space="preserve">Predicción in </w:t>
      </w:r>
      <w:proofErr w:type="spellStart"/>
      <w:r>
        <w:rPr>
          <w:i/>
          <w:iCs/>
        </w:rPr>
        <w:t>silico</w:t>
      </w:r>
      <w:proofErr w:type="spellEnd"/>
      <w:r>
        <w:rPr>
          <w:i/>
          <w:iCs/>
        </w:rPr>
        <w:t xml:space="preserve"> de la actividad antiinflamatoria de los fragmentos peptídicos del hidrolizado</w:t>
      </w:r>
    </w:p>
    <w:p w14:paraId="095568C2" w14:textId="22ADB600" w:rsidR="00B0525A" w:rsidRPr="00B0525A" w:rsidRDefault="00B0525A">
      <w:r>
        <w:lastRenderedPageBreak/>
        <w:t xml:space="preserve">El servidor </w:t>
      </w:r>
      <w:proofErr w:type="spellStart"/>
      <w:r>
        <w:t>PreAIP</w:t>
      </w:r>
      <w:proofErr w:type="spellEnd"/>
      <w:r>
        <w:t xml:space="preserve"> (</w:t>
      </w:r>
      <w:hyperlink r:id="rId14" w:history="1">
        <w:r w:rsidRPr="005B67D1">
          <w:rPr>
            <w:rStyle w:val="Hipervnculo"/>
          </w:rPr>
          <w:t>https://kurata14.bio.kyutech.ac.jp/PreAIP/</w:t>
        </w:r>
      </w:hyperlink>
      <w:r>
        <w:t>) fue utilizado para predecir la potencial actividad antiinflamatoria de los péptidos identificados. Este servidor emplea un enfoque de aprendizaj</w:t>
      </w:r>
      <w:r w:rsidR="0037104E">
        <w:t>e</w:t>
      </w:r>
      <w:r>
        <w:t xml:space="preserve"> automático basado en un modelo de Random Forest (Khatun </w:t>
      </w:r>
      <w:r>
        <w:rPr>
          <w:i/>
          <w:iCs/>
        </w:rPr>
        <w:t xml:space="preserve">et al. </w:t>
      </w:r>
      <w:r>
        <w:t>2019).</w:t>
      </w:r>
    </w:p>
    <w:p w14:paraId="294F9A56" w14:textId="77777777" w:rsidR="00B0525A" w:rsidRPr="00B0525A" w:rsidRDefault="00B0525A"/>
    <w:p w14:paraId="0FC9578D" w14:textId="7540674F" w:rsidR="00B128D5" w:rsidRDefault="00B128D5">
      <w:pPr>
        <w:rPr>
          <w:i/>
          <w:iCs/>
        </w:rPr>
      </w:pPr>
      <w:r>
        <w:t xml:space="preserve"> </w:t>
      </w:r>
      <w:r w:rsidR="0037104E">
        <w:rPr>
          <w:i/>
          <w:iCs/>
        </w:rPr>
        <w:t xml:space="preserve">Predicción in </w:t>
      </w:r>
      <w:proofErr w:type="spellStart"/>
      <w:r w:rsidR="0037104E">
        <w:rPr>
          <w:i/>
          <w:iCs/>
        </w:rPr>
        <w:t>silico</w:t>
      </w:r>
      <w:proofErr w:type="spellEnd"/>
      <w:r w:rsidR="0037104E">
        <w:rPr>
          <w:i/>
          <w:iCs/>
        </w:rPr>
        <w:t xml:space="preserve"> de la actividad antioxidante de los fragmentos peptídicos del hidrolizado</w:t>
      </w:r>
    </w:p>
    <w:p w14:paraId="02D13432" w14:textId="2DDAAB2F" w:rsidR="005703CE" w:rsidRDefault="0037104E">
      <w:r>
        <w:t xml:space="preserve">La actividad antioxidante de los péptidos identificados fue analizada usando </w:t>
      </w:r>
      <w:proofErr w:type="spellStart"/>
      <w:r>
        <w:t>AnOxPePred</w:t>
      </w:r>
      <w:proofErr w:type="spellEnd"/>
      <w:r>
        <w:t xml:space="preserve"> 1.0 (</w:t>
      </w:r>
      <w:hyperlink r:id="rId15" w:history="1">
        <w:r w:rsidRPr="005B67D1">
          <w:rPr>
            <w:rStyle w:val="Hipervnculo"/>
          </w:rPr>
          <w:t>https://services.healthtech.dtu.dk/services/AnOxPePred-1.0/</w:t>
        </w:r>
      </w:hyperlink>
      <w:r>
        <w:t xml:space="preserve">). Este servidor se basa en un aprendizaje profundo y redes neuronales convolucionales para ejecutar predicciones a partir de la evaluación de la capacidad de eliminación de radicales libres que puede presentar un péptido (Olsen </w:t>
      </w:r>
      <w:r>
        <w:rPr>
          <w:i/>
          <w:iCs/>
        </w:rPr>
        <w:t xml:space="preserve">et al. </w:t>
      </w:r>
      <w:r>
        <w:t>2020).</w:t>
      </w:r>
    </w:p>
    <w:p w14:paraId="6C33DAE3" w14:textId="344634D6" w:rsidR="005703CE" w:rsidRDefault="005703CE" w:rsidP="005703CE">
      <w:pPr>
        <w:numPr>
          <w:ilvl w:val="0"/>
          <w:numId w:val="2"/>
        </w:numPr>
        <w:pBdr>
          <w:top w:val="nil"/>
          <w:left w:val="nil"/>
          <w:bottom w:val="nil"/>
          <w:right w:val="nil"/>
          <w:between w:val="nil"/>
        </w:pBdr>
        <w:spacing w:before="280" w:after="280"/>
        <w:rPr>
          <w:b/>
          <w:bCs/>
          <w:color w:val="000000"/>
        </w:rPr>
      </w:pPr>
      <w:r>
        <w:rPr>
          <w:b/>
          <w:bCs/>
          <w:color w:val="000000"/>
        </w:rPr>
        <w:t>Resultados y discusiones</w:t>
      </w:r>
    </w:p>
    <w:p w14:paraId="1C61365F" w14:textId="529F4E2F" w:rsidR="005703CE" w:rsidRDefault="005703CE" w:rsidP="005703CE">
      <w:pPr>
        <w:rPr>
          <w:i/>
          <w:iCs/>
        </w:rPr>
      </w:pPr>
      <w:r w:rsidRPr="002D0C05">
        <w:rPr>
          <w:i/>
          <w:iCs/>
        </w:rPr>
        <w:t>Análisis pr</w:t>
      </w:r>
      <w:r>
        <w:rPr>
          <w:i/>
          <w:iCs/>
        </w:rPr>
        <w:t>o</w:t>
      </w:r>
      <w:r w:rsidRPr="002D0C05">
        <w:rPr>
          <w:i/>
          <w:iCs/>
        </w:rPr>
        <w:t>ximal de la leche de cabra</w:t>
      </w:r>
    </w:p>
    <w:p w14:paraId="586F9062" w14:textId="693E6B5B" w:rsidR="005703CE" w:rsidRPr="00D73545" w:rsidRDefault="00D73545" w:rsidP="005703CE">
      <w:r>
        <w:t>Este análisis determino que el lote de leche cabra se componía de un 7,16±0,15 % de grasa, 10,47±0,50 % de sólidos no grasos, 4,83±0,20 % de proteínas y 4,60±0,35 % de lactosa. Los valores de grasa y proteína fueron superiores al promedio reportado para leches de origen caprino, debido a que, probablemente, la composición dependa de la raza y la dieta del animal en función de la vegetación disponible (</w:t>
      </w:r>
      <w:proofErr w:type="spellStart"/>
      <w:r>
        <w:t>Nayik</w:t>
      </w:r>
      <w:proofErr w:type="spellEnd"/>
      <w:r>
        <w:t xml:space="preserve"> </w:t>
      </w:r>
      <w:r>
        <w:rPr>
          <w:i/>
          <w:iCs/>
        </w:rPr>
        <w:t xml:space="preserve">et al. </w:t>
      </w:r>
      <w:r>
        <w:t>2022).</w:t>
      </w:r>
    </w:p>
    <w:p w14:paraId="3C5F226F" w14:textId="77777777" w:rsidR="00931386" w:rsidRPr="00931386" w:rsidRDefault="00931386"/>
    <w:p w14:paraId="65DD0C75" w14:textId="108BEB54" w:rsidR="005703CE" w:rsidRDefault="00931386">
      <w:pPr>
        <w:rPr>
          <w:i/>
          <w:iCs/>
        </w:rPr>
      </w:pPr>
      <w:r>
        <w:rPr>
          <w:i/>
          <w:iCs/>
        </w:rPr>
        <w:t>Fermentación y seguimiento de la vida útil refrigerada de leche de cabra con una bacteria láctica proteolítica</w:t>
      </w:r>
    </w:p>
    <w:p w14:paraId="56B4D2A7" w14:textId="3E9DDC49" w:rsidR="00931386" w:rsidRDefault="00576122">
      <w:r>
        <w:t>Luego de 24 h de fermentación a 37 °C, la cepa</w:t>
      </w:r>
      <w:r>
        <w:rPr>
          <w:i/>
          <w:iCs/>
        </w:rPr>
        <w:t xml:space="preserve"> L. </w:t>
      </w:r>
      <w:proofErr w:type="spellStart"/>
      <w:r>
        <w:rPr>
          <w:i/>
          <w:iCs/>
        </w:rPr>
        <w:t>plantarum</w:t>
      </w:r>
      <w:proofErr w:type="spellEnd"/>
      <w:r>
        <w:rPr>
          <w:i/>
          <w:iCs/>
        </w:rPr>
        <w:t xml:space="preserve"> </w:t>
      </w:r>
      <w:r>
        <w:t>CB2 mostró un incremento en la viabilidad de 0,89 log UFC/mL. Paralelamente, el pH disminuyó aproximadamente 1,60 unidades debido, principalmente, a la producción de ácido láctico. La concentración de este compuesto aumentó en 0,37 g/L. La producción de aminoácidos libres también aumentó tras el periodo de fermentación, incrementándose en 0,11 mg/mL.</w:t>
      </w:r>
    </w:p>
    <w:p w14:paraId="535541E3" w14:textId="7E478DFF" w:rsidR="00576122" w:rsidRDefault="00576122">
      <w:r>
        <w:t>El valor de viabilidad al finalizar el almacenamiento en frio fue de 8,48 UFC/mL para la cepa de trabajo. Este valor se mantuvo casi constante durante el periodo de</w:t>
      </w:r>
      <w:r w:rsidR="00D2115E">
        <w:t xml:space="preserve"> refrigeración y esto podría deberse a que las bajas temperaturas </w:t>
      </w:r>
      <w:proofErr w:type="spellStart"/>
      <w:r w:rsidR="00D2115E">
        <w:t>relentizan</w:t>
      </w:r>
      <w:proofErr w:type="spellEnd"/>
      <w:r w:rsidR="00D2115E">
        <w:t xml:space="preserve"> drásticamente el metabolismo y el crecimiento de las bacterias lácticas, provocando la muerte de algunos microbios más sensibles. Sin embargo, algunas cepas lácticas son capaces de adaptarse y sobrevivir a las bajas temperaturas de refrigeración, aunque su multiplicación sea muy lenta. A partir de un almacenamiento prolongado, estos microorganismos </w:t>
      </w:r>
      <w:r w:rsidR="00D2115E">
        <w:lastRenderedPageBreak/>
        <w:t>adaptados reanudan gradualmente su actividad metabólica consumiendo los nutrientes restantes (</w:t>
      </w:r>
      <w:proofErr w:type="spellStart"/>
      <w:r w:rsidR="00D2115E">
        <w:t>Sionek</w:t>
      </w:r>
      <w:proofErr w:type="spellEnd"/>
      <w:r w:rsidR="00D2115E">
        <w:t xml:space="preserve"> </w:t>
      </w:r>
      <w:r w:rsidR="00D2115E">
        <w:rPr>
          <w:i/>
          <w:iCs/>
        </w:rPr>
        <w:t>et al</w:t>
      </w:r>
      <w:r w:rsidR="00D2115E">
        <w:t>. 2012).</w:t>
      </w:r>
    </w:p>
    <w:p w14:paraId="25C17190" w14:textId="181C5F5C" w:rsidR="00D2115E" w:rsidRPr="009A2B5A" w:rsidRDefault="00D2115E">
      <w:r>
        <w:t>El pH disminuyó ligeramente tras 7 días de almacenamiento. Al finalizar el periodo de almacenamiento de 21 días, el pH final fue de aproximadamente 5. La concentración de ácido láctico aumentó gradualmente hasta el día 14, momento en el que se registró un pico máximo de 1,00 g/L. Al concluir el almacenamiento, la concentración de ácido láctico era de 1,10 g/L. Durante este periodo, el pH ácido contribuyó a la desestabilización de las proteínas, lo que facilitó su hidrólisis por parte del sistema proteolítico de las cepas (</w:t>
      </w:r>
      <w:r w:rsidR="009A2B5A">
        <w:t xml:space="preserve">Zotta </w:t>
      </w:r>
      <w:r w:rsidR="009A2B5A">
        <w:rPr>
          <w:i/>
          <w:iCs/>
        </w:rPr>
        <w:t xml:space="preserve">et al. </w:t>
      </w:r>
      <w:r w:rsidR="009A2B5A">
        <w:t>2006). En este sentido, la concentración de aminoácidos se mantuvo invariable hasta el séptimo día. Posteriormente, se observó un aumento drástico en la concentración, alcanzando un valor de casi 2,00 mg/mL, el cual se mantuvo hasta el final del almacenamiento refrigerado.</w:t>
      </w:r>
    </w:p>
    <w:p w14:paraId="05AB9A9C" w14:textId="77777777" w:rsidR="00931386" w:rsidRDefault="00931386"/>
    <w:p w14:paraId="1E144CE2" w14:textId="41FAA2DB" w:rsidR="005F6D4B" w:rsidRDefault="005F6D4B">
      <w:pPr>
        <w:rPr>
          <w:i/>
          <w:iCs/>
        </w:rPr>
      </w:pPr>
      <w:r>
        <w:rPr>
          <w:i/>
          <w:iCs/>
        </w:rPr>
        <w:t>Evaluación tecnológica de la fermentación del lactosuero de cabra con una bacteria láctica proteolítica</w:t>
      </w:r>
    </w:p>
    <w:p w14:paraId="77ADE873" w14:textId="6558D1F2" w:rsidR="005F6D4B" w:rsidRDefault="005F6D4B">
      <w:r>
        <w:t xml:space="preserve">La cepa utilizada fue capaz de hidrolizar las proteínas del suero. A partir de las 4 h de incubación, la concentración de aminoácidos aumentó 7,8 veces aproximadamente. Luego, al alcanzar el final de la incubación, la concentración de aminoácidos registró un valor de 2,74 </w:t>
      </w:r>
      <w:r w:rsidR="00B02BBB">
        <w:t xml:space="preserve">mg/mL. Esta producción fue moderadamente superior a la reportada por la cepa probiótica </w:t>
      </w:r>
      <w:r w:rsidR="00B02BBB">
        <w:rPr>
          <w:i/>
          <w:iCs/>
        </w:rPr>
        <w:t xml:space="preserve">L. </w:t>
      </w:r>
      <w:proofErr w:type="spellStart"/>
      <w:r w:rsidR="00B02BBB">
        <w:rPr>
          <w:i/>
          <w:iCs/>
        </w:rPr>
        <w:t>plantarum</w:t>
      </w:r>
      <w:proofErr w:type="spellEnd"/>
      <w:r w:rsidR="00B02BBB">
        <w:rPr>
          <w:i/>
          <w:iCs/>
        </w:rPr>
        <w:t xml:space="preserve"> </w:t>
      </w:r>
      <w:r w:rsidR="00B02BBB">
        <w:t>LM1001, la cual alcanzó una concentración de 2,21 mg/mL de aminoácidos</w:t>
      </w:r>
      <w:r w:rsidR="006729C3">
        <w:t xml:space="preserve"> </w:t>
      </w:r>
      <w:r w:rsidR="00B02BBB">
        <w:t>de cadena ramificada tras 48 h de incubación (</w:t>
      </w:r>
      <w:proofErr w:type="spellStart"/>
      <w:r w:rsidR="00B02BBB">
        <w:t>Youngjin</w:t>
      </w:r>
      <w:proofErr w:type="spellEnd"/>
      <w:r w:rsidR="00B02BBB">
        <w:t xml:space="preserve"> </w:t>
      </w:r>
      <w:r w:rsidR="00B02BBB">
        <w:rPr>
          <w:i/>
          <w:iCs/>
        </w:rPr>
        <w:t xml:space="preserve">et al. </w:t>
      </w:r>
      <w:r w:rsidR="00B02BBB">
        <w:t xml:space="preserve">2024). </w:t>
      </w:r>
      <w:r w:rsidR="006729C3">
        <w:t xml:space="preserve">En otras palabras, la cepa </w:t>
      </w:r>
      <w:r w:rsidR="006729C3">
        <w:rPr>
          <w:i/>
          <w:iCs/>
        </w:rPr>
        <w:t xml:space="preserve">L. </w:t>
      </w:r>
      <w:proofErr w:type="spellStart"/>
      <w:r w:rsidR="006729C3">
        <w:rPr>
          <w:i/>
          <w:iCs/>
        </w:rPr>
        <w:t>plantarum</w:t>
      </w:r>
      <w:proofErr w:type="spellEnd"/>
      <w:r w:rsidR="006729C3">
        <w:rPr>
          <w:i/>
          <w:iCs/>
        </w:rPr>
        <w:t xml:space="preserve"> </w:t>
      </w:r>
      <w:r w:rsidR="006729C3">
        <w:t xml:space="preserve">CB2 mostró una velocidad de hidrólisis más rápida que la cepa probiótica recién mencionada. Los resultados reportados en </w:t>
      </w:r>
      <w:proofErr w:type="spellStart"/>
      <w:r w:rsidR="006729C3">
        <w:t>Youngjin</w:t>
      </w:r>
      <w:proofErr w:type="spellEnd"/>
      <w:r w:rsidR="006729C3">
        <w:t xml:space="preserve"> </w:t>
      </w:r>
      <w:r w:rsidR="006729C3">
        <w:rPr>
          <w:i/>
          <w:iCs/>
        </w:rPr>
        <w:t xml:space="preserve">et al. </w:t>
      </w:r>
      <w:r w:rsidR="006729C3">
        <w:t xml:space="preserve">(2024) también revelaron variaciones en la actividad proteolítica entre cepas de </w:t>
      </w:r>
      <w:r w:rsidR="006729C3">
        <w:rPr>
          <w:i/>
          <w:iCs/>
        </w:rPr>
        <w:t xml:space="preserve">L. </w:t>
      </w:r>
      <w:proofErr w:type="spellStart"/>
      <w:r w:rsidR="006729C3">
        <w:rPr>
          <w:i/>
          <w:iCs/>
        </w:rPr>
        <w:t>plantarum</w:t>
      </w:r>
      <w:proofErr w:type="spellEnd"/>
      <w:r w:rsidR="006729C3">
        <w:t xml:space="preserve">, demostrando, una vez más, que dicha propiedad enzimática varía según la cepa bacteriana. </w:t>
      </w:r>
    </w:p>
    <w:p w14:paraId="56CCC89E" w14:textId="56DE1E8B" w:rsidR="002A6FB3" w:rsidRPr="002A6FB3" w:rsidRDefault="002A6FB3">
      <w:r>
        <w:t>El aumento en la concentración de aminoácidos se debe a la acción de proteasas y peptidasas secretadas por las bacterias lácticas (</w:t>
      </w:r>
      <w:proofErr w:type="spellStart"/>
      <w:r>
        <w:t>Youngjin</w:t>
      </w:r>
      <w:proofErr w:type="spellEnd"/>
      <w:r>
        <w:t xml:space="preserve"> </w:t>
      </w:r>
      <w:r>
        <w:rPr>
          <w:i/>
          <w:iCs/>
        </w:rPr>
        <w:t xml:space="preserve">et al. </w:t>
      </w:r>
      <w:r>
        <w:t xml:space="preserve">2024). Este fenómeno se ve favorecido por la desnaturalización de las proteínas como consecuencia del aumento de la acidez. En este caso, el pH descendió hasta 4,05 aproximadamente tras 24 h de incubación, tal como fue descripto para la cepa </w:t>
      </w:r>
      <w:r>
        <w:rPr>
          <w:i/>
          <w:iCs/>
        </w:rPr>
        <w:t xml:space="preserve">L. </w:t>
      </w:r>
      <w:proofErr w:type="spellStart"/>
      <w:r>
        <w:rPr>
          <w:i/>
          <w:iCs/>
        </w:rPr>
        <w:t>plantarum</w:t>
      </w:r>
      <w:proofErr w:type="spellEnd"/>
      <w:r>
        <w:rPr>
          <w:i/>
          <w:iCs/>
        </w:rPr>
        <w:t xml:space="preserve"> </w:t>
      </w:r>
      <w:r>
        <w:t xml:space="preserve">PCM 1386 (Biadala </w:t>
      </w:r>
      <w:r>
        <w:rPr>
          <w:i/>
          <w:iCs/>
        </w:rPr>
        <w:t xml:space="preserve">et al. </w:t>
      </w:r>
      <w:r>
        <w:t>2023).</w:t>
      </w:r>
    </w:p>
    <w:p w14:paraId="5DD2C31F" w14:textId="77777777" w:rsidR="00931386" w:rsidRDefault="00931386"/>
    <w:p w14:paraId="57D5ED28" w14:textId="77777777" w:rsidR="002A6FB3" w:rsidRDefault="002A6FB3" w:rsidP="002A6FB3">
      <w:pPr>
        <w:rPr>
          <w:i/>
          <w:iCs/>
        </w:rPr>
      </w:pPr>
      <w:r>
        <w:rPr>
          <w:i/>
          <w:iCs/>
        </w:rPr>
        <w:t xml:space="preserve">Análisis del perfil </w:t>
      </w:r>
      <w:proofErr w:type="spellStart"/>
      <w:r>
        <w:rPr>
          <w:i/>
          <w:iCs/>
        </w:rPr>
        <w:t>peptidómico</w:t>
      </w:r>
      <w:proofErr w:type="spellEnd"/>
      <w:r>
        <w:rPr>
          <w:i/>
          <w:iCs/>
        </w:rPr>
        <w:t xml:space="preserve"> del hidrolizado de caseína </w:t>
      </w:r>
    </w:p>
    <w:p w14:paraId="6A49C108" w14:textId="06957D86" w:rsidR="002A6FB3" w:rsidRDefault="00313E98">
      <w:r>
        <w:lastRenderedPageBreak/>
        <w:t xml:space="preserve">La comparación entre ambos espectros de masa deja en evidencia la poderosa actividad proteolítica de </w:t>
      </w:r>
      <w:r>
        <w:rPr>
          <w:i/>
          <w:iCs/>
        </w:rPr>
        <w:t xml:space="preserve">L. </w:t>
      </w:r>
      <w:proofErr w:type="spellStart"/>
      <w:r>
        <w:rPr>
          <w:i/>
          <w:iCs/>
        </w:rPr>
        <w:t>plantarum</w:t>
      </w:r>
      <w:proofErr w:type="spellEnd"/>
      <w:r>
        <w:rPr>
          <w:i/>
          <w:iCs/>
        </w:rPr>
        <w:t xml:space="preserve"> </w:t>
      </w:r>
      <w:r>
        <w:t>CB2. La ausencia de los picos de mayor relación m/z (860,90 a 1065,86) presentes en la caseína sin hidrolizar, acompañada por el enriquecimiento de la fracción de bajo peso molecular (230 a 470) en el hidrolizado, es un clásico comportamiento espectral de la hidrólisis proteica.</w:t>
      </w:r>
    </w:p>
    <w:p w14:paraId="20FA2A32" w14:textId="035E5842" w:rsidR="00313E98" w:rsidRPr="001C4853" w:rsidRDefault="00313E98">
      <w:r>
        <w:t xml:space="preserve">Las señales observadas en el hidrolizado de caseína, específicamente los picos a m/z de 233,97, 313,03 y 460,92, representan candidatos idóneos que se ajustan al tamaño molecular de </w:t>
      </w:r>
      <w:r w:rsidR="001C4853">
        <w:t xml:space="preserve">di, tri y </w:t>
      </w:r>
      <w:proofErr w:type="spellStart"/>
      <w:r w:rsidR="001C4853">
        <w:t>tetrapéptidos</w:t>
      </w:r>
      <w:proofErr w:type="spellEnd"/>
      <w:r w:rsidR="001C4853">
        <w:t xml:space="preserve"> con posibles actividades </w:t>
      </w:r>
      <w:proofErr w:type="spellStart"/>
      <w:r w:rsidR="001C4853">
        <w:t>biofuncionales</w:t>
      </w:r>
      <w:proofErr w:type="spellEnd"/>
      <w:r w:rsidR="001C4853">
        <w:t xml:space="preserve">. Esto sugiere que la </w:t>
      </w:r>
      <w:r w:rsidR="001C4853">
        <w:rPr>
          <w:i/>
          <w:iCs/>
        </w:rPr>
        <w:t xml:space="preserve">L. </w:t>
      </w:r>
      <w:proofErr w:type="spellStart"/>
      <w:r w:rsidR="001C4853">
        <w:rPr>
          <w:i/>
          <w:iCs/>
        </w:rPr>
        <w:t>plantarum</w:t>
      </w:r>
      <w:proofErr w:type="spellEnd"/>
      <w:r w:rsidR="001C4853">
        <w:rPr>
          <w:i/>
          <w:iCs/>
        </w:rPr>
        <w:t xml:space="preserve"> </w:t>
      </w:r>
      <w:r w:rsidR="001C4853">
        <w:t xml:space="preserve">CB2 posee una maquinaria enzimática necesaria para liberar fragmentos peptídicos que podrían ejercer roles fisiológicos beneficiosos. </w:t>
      </w:r>
    </w:p>
    <w:p w14:paraId="6E6B13C9" w14:textId="77777777" w:rsidR="002A6FB3" w:rsidRPr="004057D0" w:rsidRDefault="002A6FB3">
      <w:pPr>
        <w:rPr>
          <w:i/>
          <w:iCs/>
        </w:rPr>
      </w:pPr>
    </w:p>
    <w:p w14:paraId="5119B39D" w14:textId="6A97DA6C" w:rsidR="004057D0" w:rsidRPr="004057D0" w:rsidRDefault="004057D0">
      <w:pPr>
        <w:rPr>
          <w:i/>
          <w:iCs/>
          <w:lang w:val="es-MX"/>
        </w:rPr>
      </w:pPr>
      <w:r w:rsidRPr="004057D0">
        <w:rPr>
          <w:i/>
          <w:iCs/>
          <w:lang w:val="es-MX"/>
        </w:rPr>
        <w:t xml:space="preserve">Análisis in </w:t>
      </w:r>
      <w:proofErr w:type="spellStart"/>
      <w:r w:rsidRPr="004057D0">
        <w:rPr>
          <w:i/>
          <w:iCs/>
          <w:lang w:val="es-MX"/>
        </w:rPr>
        <w:t>silico</w:t>
      </w:r>
      <w:proofErr w:type="spellEnd"/>
      <w:r w:rsidRPr="004057D0">
        <w:rPr>
          <w:i/>
          <w:iCs/>
          <w:lang w:val="es-MX"/>
        </w:rPr>
        <w:t xml:space="preserve"> para la identificación de péptidos</w:t>
      </w:r>
    </w:p>
    <w:p w14:paraId="41FBB8FA" w14:textId="3E1496B1" w:rsidR="001C4853" w:rsidRDefault="001C4853">
      <w:pPr>
        <w:rPr>
          <w:rFonts w:cs="Calibri"/>
          <w:lang w:val="es-MX"/>
        </w:rPr>
      </w:pPr>
      <w:proofErr w:type="spellStart"/>
      <w:r>
        <w:rPr>
          <w:lang w:val="es-MX"/>
        </w:rPr>
        <w:t>FindPept</w:t>
      </w:r>
      <w:proofErr w:type="spellEnd"/>
      <w:r>
        <w:rPr>
          <w:lang w:val="es-MX"/>
        </w:rPr>
        <w:t xml:space="preserve"> permitió identificar los péptidos detectados en la muestra hidrolizada y sin hidrolizar. En esta última se detectaron solo 5 péptidos, de los cuales solo 3 presentaron una puntuación mayor a 0,5 asignada pro </w:t>
      </w:r>
      <w:proofErr w:type="spellStart"/>
      <w:r>
        <w:rPr>
          <w:lang w:val="es-MX"/>
        </w:rPr>
        <w:t>PeptideRanker</w:t>
      </w:r>
      <w:proofErr w:type="spellEnd"/>
      <w:r>
        <w:rPr>
          <w:lang w:val="es-MX"/>
        </w:rPr>
        <w:t xml:space="preserve">: DELQDKI, HKEMPF y SLTLTDV. Los fragmentos QPI y QEPVL no fueron calificados como potenciales péptidos bioactivos por </w:t>
      </w:r>
      <w:proofErr w:type="spellStart"/>
      <w:r>
        <w:rPr>
          <w:lang w:val="es-MX"/>
        </w:rPr>
        <w:t>PeptideRanker</w:t>
      </w:r>
      <w:proofErr w:type="spellEnd"/>
      <w:r>
        <w:rPr>
          <w:lang w:val="es-MX"/>
        </w:rPr>
        <w:t xml:space="preserve">. La </w:t>
      </w:r>
      <w:r w:rsidRPr="005F31C8">
        <w:rPr>
          <w:b/>
          <w:bCs/>
          <w:lang w:val="es-MX"/>
        </w:rPr>
        <w:t>Tabla 1</w:t>
      </w:r>
      <w:r>
        <w:rPr>
          <w:b/>
          <w:bCs/>
          <w:lang w:val="es-MX"/>
        </w:rPr>
        <w:t xml:space="preserve"> </w:t>
      </w:r>
      <w:r>
        <w:rPr>
          <w:lang w:val="es-MX"/>
        </w:rPr>
        <w:t xml:space="preserve">muestra las secuencias de dichos péptidos y establece sus proteínas de origen. Allí se puede observar que los fragmentos peptídicos identificados provienen únicamente de las fracciones </w:t>
      </w:r>
      <w:r w:rsidRPr="003D2E94">
        <w:rPr>
          <w:lang w:val="es-MX"/>
        </w:rPr>
        <w:t>α</w:t>
      </w:r>
      <w:r w:rsidRPr="003D2E94">
        <w:rPr>
          <w:vertAlign w:val="subscript"/>
          <w:lang w:val="es-MX"/>
        </w:rPr>
        <w:t>S1</w:t>
      </w:r>
      <w:r w:rsidRPr="003D2E94">
        <w:rPr>
          <w:lang w:val="es-MX"/>
        </w:rPr>
        <w:t>, α</w:t>
      </w:r>
      <w:r w:rsidRPr="003D2E94">
        <w:rPr>
          <w:vertAlign w:val="subscript"/>
          <w:lang w:val="es-MX"/>
        </w:rPr>
        <w:t>S2</w:t>
      </w:r>
      <w:r w:rsidRPr="003D2E94">
        <w:rPr>
          <w:lang w:val="es-MX"/>
        </w:rPr>
        <w:t xml:space="preserve"> y β</w:t>
      </w:r>
      <w:r>
        <w:rPr>
          <w:lang w:val="es-MX"/>
        </w:rPr>
        <w:t xml:space="preserve"> de la caseína. La ausencia de péptidos provenientes de la caseína </w:t>
      </w:r>
      <w:r w:rsidRPr="00466225">
        <w:rPr>
          <w:rFonts w:cs="Calibri"/>
          <w:lang w:val="es-MX"/>
        </w:rPr>
        <w:t xml:space="preserve">κ </w:t>
      </w:r>
      <w:r>
        <w:rPr>
          <w:rFonts w:cs="Calibri"/>
          <w:lang w:val="es-MX"/>
        </w:rPr>
        <w:t xml:space="preserve">podría deberse, principalmente, a </w:t>
      </w:r>
      <w:r w:rsidRPr="00466225">
        <w:rPr>
          <w:rFonts w:cs="Calibri"/>
          <w:lang w:val="es-MX"/>
        </w:rPr>
        <w:t>la falta de proteasas de envoltura celular en la cepa</w:t>
      </w:r>
      <w:r>
        <w:rPr>
          <w:rFonts w:ascii="Calibri" w:hAnsi="Calibri" w:cs="Calibri"/>
          <w:lang w:val="es-MX"/>
        </w:rPr>
        <w:t xml:space="preserve"> </w:t>
      </w:r>
      <w:r w:rsidRPr="005574DE">
        <w:rPr>
          <w:rFonts w:cs="Calibri"/>
          <w:lang w:val="es-MX"/>
        </w:rPr>
        <w:t>y la baja proporción existente en la composición de la caseína total</w:t>
      </w:r>
      <w:r>
        <w:rPr>
          <w:rFonts w:cs="Calibri"/>
          <w:lang w:val="es-MX"/>
        </w:rPr>
        <w:t xml:space="preserve"> (Auestad y Layman, 2021; Huang y Cheng, 2025). Además, esta fracción de caseína se encuentra ubicada en la periferia de las micelas y altamente glicosilada, lo que representa un impedimento estérico para las proteasas y peptidasas presentes en el microorganismo (Padilla y Zambrano, 2021). De hecho, el sistema proteolítico de muchas especies de </w:t>
      </w:r>
      <w:r w:rsidR="00BB08A0" w:rsidRPr="00BB08A0">
        <w:rPr>
          <w:rFonts w:cs="Calibri"/>
          <w:i/>
          <w:iCs/>
          <w:lang w:val="es-MX"/>
        </w:rPr>
        <w:t>L.</w:t>
      </w:r>
      <w:r>
        <w:rPr>
          <w:rFonts w:cs="Calibri"/>
          <w:i/>
          <w:iCs/>
          <w:lang w:val="es-MX"/>
        </w:rPr>
        <w:t xml:space="preserve"> </w:t>
      </w:r>
      <w:proofErr w:type="spellStart"/>
      <w:r>
        <w:rPr>
          <w:rFonts w:cs="Calibri"/>
          <w:i/>
          <w:iCs/>
          <w:lang w:val="es-MX"/>
        </w:rPr>
        <w:t>plantarum</w:t>
      </w:r>
      <w:proofErr w:type="spellEnd"/>
      <w:r>
        <w:rPr>
          <w:rFonts w:cs="Calibri"/>
          <w:i/>
          <w:iCs/>
          <w:lang w:val="es-MX"/>
        </w:rPr>
        <w:t xml:space="preserve"> </w:t>
      </w:r>
      <w:r>
        <w:rPr>
          <w:rFonts w:cs="Calibri"/>
          <w:lang w:val="es-MX"/>
        </w:rPr>
        <w:t xml:space="preserve">presentan una afinidad evolutivamente mayor por secuencias ricas en prolina y de estructuras más flexibles y desordenadas, tales como la caseína </w:t>
      </w:r>
      <w:r w:rsidRPr="00C24FD6">
        <w:rPr>
          <w:lang w:val="es-MX"/>
        </w:rPr>
        <w:t>β (Liu et al. 2010)</w:t>
      </w:r>
      <w:r>
        <w:rPr>
          <w:rFonts w:cs="Calibri"/>
          <w:lang w:val="es-MX"/>
        </w:rPr>
        <w:t xml:space="preserve">. En este sentido, la cepa probiótica </w:t>
      </w:r>
      <w:r w:rsidR="00BB08A0" w:rsidRPr="00BB08A0">
        <w:rPr>
          <w:rFonts w:cs="Calibri"/>
          <w:i/>
          <w:iCs/>
          <w:lang w:val="es-MX"/>
        </w:rPr>
        <w:t>L.</w:t>
      </w:r>
      <w:r>
        <w:rPr>
          <w:rFonts w:cs="Calibri"/>
          <w:i/>
          <w:iCs/>
          <w:lang w:val="es-MX"/>
        </w:rPr>
        <w:t xml:space="preserve"> </w:t>
      </w:r>
      <w:proofErr w:type="spellStart"/>
      <w:r>
        <w:rPr>
          <w:rFonts w:cs="Calibri"/>
          <w:i/>
          <w:iCs/>
          <w:lang w:val="es-MX"/>
        </w:rPr>
        <w:t>plantarum</w:t>
      </w:r>
      <w:proofErr w:type="spellEnd"/>
      <w:r>
        <w:rPr>
          <w:rFonts w:cs="Calibri"/>
          <w:i/>
          <w:iCs/>
          <w:lang w:val="es-MX"/>
        </w:rPr>
        <w:t xml:space="preserve"> </w:t>
      </w:r>
      <w:r>
        <w:rPr>
          <w:rFonts w:cs="Calibri"/>
          <w:lang w:val="es-MX"/>
        </w:rPr>
        <w:t xml:space="preserve">NCCB 100524 también demostró una preferencia de sustrato por las mismas fracciones de caseína, resultando en una amplia variedad de péptidos con potencial antimicrobiano y anticancerígeno (Öztürk et al. 2026). Estos hallazgos son congruentes a la actividad proteinasa presente en la cepa </w:t>
      </w:r>
      <w:r w:rsidR="00BB08A0" w:rsidRPr="00BB08A0">
        <w:rPr>
          <w:rFonts w:cs="Calibri"/>
          <w:i/>
          <w:iCs/>
          <w:lang w:val="es-MX"/>
        </w:rPr>
        <w:t>L.</w:t>
      </w:r>
      <w:r>
        <w:rPr>
          <w:rFonts w:cs="Calibri"/>
          <w:i/>
          <w:iCs/>
          <w:lang w:val="es-MX"/>
        </w:rPr>
        <w:t xml:space="preserve"> </w:t>
      </w:r>
      <w:proofErr w:type="spellStart"/>
      <w:r>
        <w:rPr>
          <w:rFonts w:cs="Calibri"/>
          <w:i/>
          <w:iCs/>
          <w:lang w:val="es-MX"/>
        </w:rPr>
        <w:t>plantarum</w:t>
      </w:r>
      <w:proofErr w:type="spellEnd"/>
      <w:r>
        <w:rPr>
          <w:rFonts w:cs="Calibri"/>
          <w:i/>
          <w:iCs/>
          <w:lang w:val="es-MX"/>
        </w:rPr>
        <w:t xml:space="preserve"> </w:t>
      </w:r>
      <w:r>
        <w:rPr>
          <w:rFonts w:cs="Calibri"/>
          <w:lang w:val="es-MX"/>
        </w:rPr>
        <w:t xml:space="preserve">CB2, ya que demostró una alta afinidad de sustrato por las caseínas </w:t>
      </w:r>
      <w:r w:rsidRPr="003D2E94">
        <w:rPr>
          <w:lang w:val="es-MX"/>
        </w:rPr>
        <w:t>α</w:t>
      </w:r>
      <w:r w:rsidRPr="003D2E94">
        <w:rPr>
          <w:rFonts w:cs="Calibri"/>
          <w:lang w:val="es-MX"/>
        </w:rPr>
        <w:t xml:space="preserve"> y </w:t>
      </w:r>
      <w:r w:rsidRPr="003D2E94">
        <w:rPr>
          <w:lang w:val="es-MX"/>
        </w:rPr>
        <w:t>β</w:t>
      </w:r>
      <w:r w:rsidRPr="003D2E94">
        <w:rPr>
          <w:rFonts w:cs="Calibri"/>
          <w:lang w:val="es-MX"/>
        </w:rPr>
        <w:t>; mientras evidenció una baja preferencia de sustrato frente a la caseína κ.</w:t>
      </w:r>
    </w:p>
    <w:p w14:paraId="5A7E280D" w14:textId="77777777" w:rsidR="007E1C5C" w:rsidRDefault="007E1C5C">
      <w:pPr>
        <w:rPr>
          <w:rFonts w:cs="Calibri"/>
          <w:lang w:val="es-MX"/>
        </w:rPr>
      </w:pPr>
    </w:p>
    <w:p w14:paraId="2BB5FA99" w14:textId="77777777" w:rsidR="007E1C5C" w:rsidRDefault="007E1C5C"/>
    <w:tbl>
      <w:tblPr>
        <w:tblStyle w:val="Tablaconcuadrcula"/>
        <w:tblW w:w="0" w:type="auto"/>
        <w:tblLook w:val="04A0" w:firstRow="1" w:lastRow="0" w:firstColumn="1" w:lastColumn="0" w:noHBand="0" w:noVBand="1"/>
      </w:tblPr>
      <w:tblGrid>
        <w:gridCol w:w="1253"/>
        <w:gridCol w:w="1543"/>
        <w:gridCol w:w="2097"/>
        <w:gridCol w:w="2397"/>
        <w:gridCol w:w="2105"/>
      </w:tblGrid>
      <w:tr w:rsidR="004057D0" w:rsidRPr="007E1C5C" w14:paraId="441EC981" w14:textId="77777777" w:rsidTr="004057D0">
        <w:tc>
          <w:tcPr>
            <w:tcW w:w="0" w:type="auto"/>
            <w:gridSpan w:val="5"/>
            <w:tcBorders>
              <w:top w:val="nil"/>
              <w:left w:val="nil"/>
              <w:right w:val="nil"/>
            </w:tcBorders>
            <w:vAlign w:val="center"/>
          </w:tcPr>
          <w:p w14:paraId="1D1B8735" w14:textId="46A4AF1F" w:rsidR="004057D0" w:rsidRPr="007E1C5C" w:rsidRDefault="004057D0" w:rsidP="004057D0">
            <w:pPr>
              <w:rPr>
                <w:rFonts w:ascii="Times New Roman" w:hAnsi="Times New Roman" w:cs="Times New Roman"/>
                <w:b/>
                <w:bCs/>
                <w:lang w:val="es-MX"/>
              </w:rPr>
            </w:pPr>
            <w:proofErr w:type="spellStart"/>
            <w:r w:rsidRPr="007E1C5C">
              <w:rPr>
                <w:rFonts w:ascii="Times New Roman" w:hAnsi="Times New Roman" w:cs="Times New Roman"/>
                <w:b/>
                <w:bCs/>
                <w:lang w:val="en-US"/>
              </w:rPr>
              <w:lastRenderedPageBreak/>
              <w:t>Tabla</w:t>
            </w:r>
            <w:proofErr w:type="spellEnd"/>
            <w:r w:rsidRPr="007E1C5C">
              <w:rPr>
                <w:rFonts w:ascii="Times New Roman" w:hAnsi="Times New Roman" w:cs="Times New Roman"/>
                <w:b/>
                <w:bCs/>
                <w:lang w:val="en-US"/>
              </w:rPr>
              <w:t xml:space="preserve"> 1.</w:t>
            </w:r>
            <w:r w:rsidRPr="007E1C5C">
              <w:rPr>
                <w:rFonts w:ascii="Times New Roman" w:hAnsi="Times New Roman" w:cs="Times New Roman"/>
                <w:lang w:val="en-US"/>
              </w:rPr>
              <w:t xml:space="preserve"> </w:t>
            </w:r>
            <w:proofErr w:type="spellStart"/>
            <w:r w:rsidRPr="007E1C5C">
              <w:rPr>
                <w:rFonts w:ascii="Times New Roman" w:hAnsi="Times New Roman" w:cs="Times New Roman"/>
                <w:lang w:val="en-US"/>
              </w:rPr>
              <w:t>Péptidos</w:t>
            </w:r>
            <w:proofErr w:type="spellEnd"/>
            <w:r w:rsidRPr="007E1C5C">
              <w:rPr>
                <w:rFonts w:ascii="Times New Roman" w:hAnsi="Times New Roman" w:cs="Times New Roman"/>
                <w:lang w:val="en-US"/>
              </w:rPr>
              <w:t xml:space="preserve"> </w:t>
            </w:r>
            <w:proofErr w:type="spellStart"/>
            <w:r w:rsidRPr="007E1C5C">
              <w:rPr>
                <w:rFonts w:ascii="Times New Roman" w:hAnsi="Times New Roman" w:cs="Times New Roman"/>
                <w:lang w:val="en-US"/>
              </w:rPr>
              <w:t>identificados</w:t>
            </w:r>
            <w:proofErr w:type="spellEnd"/>
          </w:p>
        </w:tc>
      </w:tr>
      <w:tr w:rsidR="004057D0" w:rsidRPr="007E1C5C" w14:paraId="4B29A3B3" w14:textId="77777777" w:rsidTr="004057D0">
        <w:tc>
          <w:tcPr>
            <w:tcW w:w="0" w:type="auto"/>
            <w:vAlign w:val="center"/>
          </w:tcPr>
          <w:p w14:paraId="1CCA19BD" w14:textId="77777777" w:rsidR="004057D0" w:rsidRPr="007E1C5C" w:rsidRDefault="004057D0" w:rsidP="004057D0">
            <w:pPr>
              <w:jc w:val="center"/>
              <w:rPr>
                <w:rFonts w:ascii="Times New Roman" w:hAnsi="Times New Roman" w:cs="Times New Roman"/>
                <w:b/>
                <w:bCs/>
                <w:lang w:val="es-MX"/>
              </w:rPr>
            </w:pPr>
            <w:r w:rsidRPr="007E1C5C">
              <w:rPr>
                <w:rFonts w:ascii="Times New Roman" w:hAnsi="Times New Roman" w:cs="Times New Roman"/>
                <w:b/>
                <w:bCs/>
                <w:lang w:val="es-MX"/>
              </w:rPr>
              <w:t>Péptidos</w:t>
            </w:r>
          </w:p>
        </w:tc>
        <w:tc>
          <w:tcPr>
            <w:tcW w:w="0" w:type="auto"/>
            <w:vAlign w:val="center"/>
          </w:tcPr>
          <w:p w14:paraId="104A1C0A" w14:textId="77777777" w:rsidR="004057D0" w:rsidRPr="007E1C5C" w:rsidRDefault="004057D0" w:rsidP="004057D0">
            <w:pPr>
              <w:jc w:val="center"/>
              <w:rPr>
                <w:rFonts w:ascii="Times New Roman" w:hAnsi="Times New Roman" w:cs="Times New Roman"/>
                <w:b/>
                <w:bCs/>
                <w:lang w:val="es-MX"/>
              </w:rPr>
            </w:pPr>
            <w:r w:rsidRPr="007E1C5C">
              <w:rPr>
                <w:rFonts w:ascii="Times New Roman" w:hAnsi="Times New Roman" w:cs="Times New Roman"/>
                <w:b/>
                <w:bCs/>
                <w:lang w:val="es-MX"/>
              </w:rPr>
              <w:t>Relación m/z</w:t>
            </w:r>
          </w:p>
        </w:tc>
        <w:tc>
          <w:tcPr>
            <w:tcW w:w="0" w:type="auto"/>
            <w:vAlign w:val="center"/>
          </w:tcPr>
          <w:p w14:paraId="06225DD7" w14:textId="77777777" w:rsidR="004057D0" w:rsidRPr="007E1C5C" w:rsidRDefault="004057D0" w:rsidP="004057D0">
            <w:pPr>
              <w:jc w:val="center"/>
              <w:rPr>
                <w:rFonts w:ascii="Times New Roman" w:hAnsi="Times New Roman" w:cs="Times New Roman"/>
                <w:b/>
                <w:bCs/>
                <w:lang w:val="es-MX"/>
              </w:rPr>
            </w:pPr>
            <w:r w:rsidRPr="007E1C5C">
              <w:rPr>
                <w:rFonts w:ascii="Times New Roman" w:hAnsi="Times New Roman" w:cs="Times New Roman"/>
                <w:b/>
                <w:bCs/>
                <w:lang w:val="es-MX"/>
              </w:rPr>
              <w:t>Intensidad de pico</w:t>
            </w:r>
          </w:p>
        </w:tc>
        <w:tc>
          <w:tcPr>
            <w:tcW w:w="0" w:type="auto"/>
            <w:vAlign w:val="center"/>
          </w:tcPr>
          <w:p w14:paraId="6F76A90A" w14:textId="77777777" w:rsidR="004057D0" w:rsidRPr="007E1C5C" w:rsidRDefault="004057D0" w:rsidP="004057D0">
            <w:pPr>
              <w:jc w:val="center"/>
              <w:rPr>
                <w:rFonts w:ascii="Times New Roman" w:hAnsi="Times New Roman" w:cs="Times New Roman"/>
                <w:b/>
                <w:bCs/>
                <w:lang w:val="es-MX"/>
              </w:rPr>
            </w:pPr>
            <w:r w:rsidRPr="007E1C5C">
              <w:rPr>
                <w:rFonts w:ascii="Times New Roman" w:hAnsi="Times New Roman" w:cs="Times New Roman"/>
                <w:b/>
                <w:bCs/>
                <w:lang w:val="es-MX"/>
              </w:rPr>
              <w:t>Posición en la cadena</w:t>
            </w:r>
          </w:p>
        </w:tc>
        <w:tc>
          <w:tcPr>
            <w:tcW w:w="0" w:type="auto"/>
            <w:vAlign w:val="center"/>
          </w:tcPr>
          <w:p w14:paraId="363FDDB8" w14:textId="77777777" w:rsidR="004057D0" w:rsidRPr="007E1C5C" w:rsidRDefault="004057D0" w:rsidP="004057D0">
            <w:pPr>
              <w:jc w:val="center"/>
              <w:rPr>
                <w:rFonts w:ascii="Times New Roman" w:hAnsi="Times New Roman" w:cs="Times New Roman"/>
                <w:b/>
                <w:bCs/>
                <w:lang w:val="es-MX"/>
              </w:rPr>
            </w:pPr>
            <w:r w:rsidRPr="007E1C5C">
              <w:rPr>
                <w:rFonts w:ascii="Times New Roman" w:hAnsi="Times New Roman" w:cs="Times New Roman"/>
                <w:b/>
                <w:bCs/>
                <w:lang w:val="es-MX"/>
              </w:rPr>
              <w:t>Proteína de origen</w:t>
            </w:r>
          </w:p>
        </w:tc>
      </w:tr>
      <w:tr w:rsidR="004057D0" w:rsidRPr="007E1C5C" w14:paraId="5AFAD144" w14:textId="77777777" w:rsidTr="004057D0">
        <w:tc>
          <w:tcPr>
            <w:tcW w:w="0" w:type="auto"/>
            <w:vAlign w:val="center"/>
          </w:tcPr>
          <w:p w14:paraId="1779EB49"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VIPY</w:t>
            </w:r>
          </w:p>
        </w:tc>
        <w:tc>
          <w:tcPr>
            <w:tcW w:w="0" w:type="auto"/>
            <w:vAlign w:val="center"/>
          </w:tcPr>
          <w:p w14:paraId="3B442085"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474,02</w:t>
            </w:r>
          </w:p>
        </w:tc>
        <w:tc>
          <w:tcPr>
            <w:tcW w:w="0" w:type="auto"/>
            <w:vAlign w:val="center"/>
          </w:tcPr>
          <w:p w14:paraId="3FA04F5B"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3,44×10</w:t>
            </w:r>
            <w:r w:rsidRPr="007E1C5C">
              <w:rPr>
                <w:rFonts w:ascii="Times New Roman" w:hAnsi="Times New Roman" w:cs="Times New Roman"/>
                <w:vertAlign w:val="superscript"/>
                <w:lang w:val="es-MX"/>
              </w:rPr>
              <w:t>6</w:t>
            </w:r>
          </w:p>
        </w:tc>
        <w:tc>
          <w:tcPr>
            <w:tcW w:w="0" w:type="auto"/>
            <w:vAlign w:val="center"/>
          </w:tcPr>
          <w:p w14:paraId="04112304"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27 - 30</w:t>
            </w:r>
          </w:p>
        </w:tc>
        <w:tc>
          <w:tcPr>
            <w:tcW w:w="0" w:type="auto"/>
            <w:vMerge w:val="restart"/>
            <w:vAlign w:val="center"/>
          </w:tcPr>
          <w:p w14:paraId="2078F279"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Caseína α</w:t>
            </w:r>
            <w:r w:rsidRPr="007E1C5C">
              <w:rPr>
                <w:rFonts w:ascii="Times New Roman" w:hAnsi="Times New Roman" w:cs="Times New Roman"/>
                <w:vertAlign w:val="subscript"/>
                <w:lang w:val="es-MX"/>
              </w:rPr>
              <w:t>S1</w:t>
            </w:r>
          </w:p>
        </w:tc>
      </w:tr>
      <w:tr w:rsidR="004057D0" w:rsidRPr="007E1C5C" w14:paraId="1FCF8EDA" w14:textId="77777777" w:rsidTr="004057D0">
        <w:tc>
          <w:tcPr>
            <w:tcW w:w="0" w:type="auto"/>
            <w:vAlign w:val="center"/>
          </w:tcPr>
          <w:p w14:paraId="633AF837"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FF</w:t>
            </w:r>
          </w:p>
        </w:tc>
        <w:tc>
          <w:tcPr>
            <w:tcW w:w="0" w:type="auto"/>
            <w:vAlign w:val="center"/>
          </w:tcPr>
          <w:p w14:paraId="68514000"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313,03</w:t>
            </w:r>
          </w:p>
        </w:tc>
        <w:tc>
          <w:tcPr>
            <w:tcW w:w="0" w:type="auto"/>
            <w:vAlign w:val="center"/>
          </w:tcPr>
          <w:p w14:paraId="10114108"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5,47×10</w:t>
            </w:r>
            <w:r w:rsidRPr="007E1C5C">
              <w:rPr>
                <w:rFonts w:ascii="Times New Roman" w:hAnsi="Times New Roman" w:cs="Times New Roman"/>
                <w:vertAlign w:val="superscript"/>
                <w:lang w:val="es-MX"/>
              </w:rPr>
              <w:t>6</w:t>
            </w:r>
          </w:p>
        </w:tc>
        <w:tc>
          <w:tcPr>
            <w:tcW w:w="0" w:type="auto"/>
            <w:vAlign w:val="center"/>
          </w:tcPr>
          <w:p w14:paraId="00F87B25"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38 - 39</w:t>
            </w:r>
          </w:p>
        </w:tc>
        <w:tc>
          <w:tcPr>
            <w:tcW w:w="0" w:type="auto"/>
            <w:vMerge/>
            <w:vAlign w:val="center"/>
          </w:tcPr>
          <w:p w14:paraId="5798E680" w14:textId="77777777" w:rsidR="004057D0" w:rsidRPr="007E1C5C" w:rsidRDefault="004057D0" w:rsidP="004057D0">
            <w:pPr>
              <w:jc w:val="center"/>
              <w:rPr>
                <w:rFonts w:ascii="Times New Roman" w:hAnsi="Times New Roman" w:cs="Times New Roman"/>
                <w:lang w:val="es-MX"/>
              </w:rPr>
            </w:pPr>
          </w:p>
        </w:tc>
      </w:tr>
      <w:tr w:rsidR="004057D0" w:rsidRPr="007E1C5C" w14:paraId="180DF464" w14:textId="77777777" w:rsidTr="004057D0">
        <w:tc>
          <w:tcPr>
            <w:tcW w:w="0" w:type="auto"/>
            <w:vAlign w:val="center"/>
          </w:tcPr>
          <w:p w14:paraId="78A7F1AC"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HKEMP</w:t>
            </w:r>
          </w:p>
        </w:tc>
        <w:tc>
          <w:tcPr>
            <w:tcW w:w="0" w:type="auto"/>
            <w:vAlign w:val="center"/>
          </w:tcPr>
          <w:p w14:paraId="5DEF4154"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603,07</w:t>
            </w:r>
          </w:p>
        </w:tc>
        <w:tc>
          <w:tcPr>
            <w:tcW w:w="0" w:type="auto"/>
            <w:vAlign w:val="center"/>
          </w:tcPr>
          <w:p w14:paraId="3EAA1872"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2,77×10</w:t>
            </w:r>
            <w:r w:rsidRPr="007E1C5C">
              <w:rPr>
                <w:rFonts w:ascii="Times New Roman" w:hAnsi="Times New Roman" w:cs="Times New Roman"/>
                <w:vertAlign w:val="superscript"/>
                <w:lang w:val="es-MX"/>
              </w:rPr>
              <w:t>6</w:t>
            </w:r>
          </w:p>
        </w:tc>
        <w:tc>
          <w:tcPr>
            <w:tcW w:w="0" w:type="auto"/>
            <w:vAlign w:val="center"/>
          </w:tcPr>
          <w:p w14:paraId="1E789A98"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59 - 63</w:t>
            </w:r>
          </w:p>
        </w:tc>
        <w:tc>
          <w:tcPr>
            <w:tcW w:w="0" w:type="auto"/>
            <w:vMerge/>
            <w:vAlign w:val="center"/>
          </w:tcPr>
          <w:p w14:paraId="13CF7025" w14:textId="77777777" w:rsidR="004057D0" w:rsidRPr="007E1C5C" w:rsidRDefault="004057D0" w:rsidP="004057D0">
            <w:pPr>
              <w:jc w:val="center"/>
              <w:rPr>
                <w:rFonts w:ascii="Times New Roman" w:hAnsi="Times New Roman" w:cs="Times New Roman"/>
                <w:lang w:val="es-MX"/>
              </w:rPr>
            </w:pPr>
          </w:p>
        </w:tc>
      </w:tr>
      <w:tr w:rsidR="004057D0" w:rsidRPr="007E1C5C" w14:paraId="54501878" w14:textId="77777777" w:rsidTr="004057D0">
        <w:tc>
          <w:tcPr>
            <w:tcW w:w="0" w:type="auto"/>
            <w:vAlign w:val="center"/>
          </w:tcPr>
          <w:p w14:paraId="6A65559A"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MPFP</w:t>
            </w:r>
          </w:p>
        </w:tc>
        <w:tc>
          <w:tcPr>
            <w:tcW w:w="0" w:type="auto"/>
            <w:vAlign w:val="center"/>
          </w:tcPr>
          <w:p w14:paraId="4C91D467"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458,05</w:t>
            </w:r>
          </w:p>
        </w:tc>
        <w:tc>
          <w:tcPr>
            <w:tcW w:w="0" w:type="auto"/>
            <w:vAlign w:val="center"/>
          </w:tcPr>
          <w:p w14:paraId="118E5CFF"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6,22×10</w:t>
            </w:r>
            <w:r w:rsidRPr="007E1C5C">
              <w:rPr>
                <w:rFonts w:ascii="Times New Roman" w:hAnsi="Times New Roman" w:cs="Times New Roman"/>
                <w:vertAlign w:val="superscript"/>
                <w:lang w:val="es-MX"/>
              </w:rPr>
              <w:t>6</w:t>
            </w:r>
          </w:p>
        </w:tc>
        <w:tc>
          <w:tcPr>
            <w:tcW w:w="0" w:type="auto"/>
            <w:vAlign w:val="center"/>
          </w:tcPr>
          <w:p w14:paraId="1D92537E"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60 - 65</w:t>
            </w:r>
          </w:p>
        </w:tc>
        <w:tc>
          <w:tcPr>
            <w:tcW w:w="0" w:type="auto"/>
            <w:vMerge/>
            <w:vAlign w:val="center"/>
          </w:tcPr>
          <w:p w14:paraId="1199CCBD" w14:textId="77777777" w:rsidR="004057D0" w:rsidRPr="007E1C5C" w:rsidRDefault="004057D0" w:rsidP="004057D0">
            <w:pPr>
              <w:jc w:val="center"/>
              <w:rPr>
                <w:rFonts w:ascii="Times New Roman" w:hAnsi="Times New Roman" w:cs="Times New Roman"/>
                <w:lang w:val="es-MX"/>
              </w:rPr>
            </w:pPr>
          </w:p>
        </w:tc>
      </w:tr>
      <w:tr w:rsidR="004057D0" w:rsidRPr="007E1C5C" w14:paraId="1E1CF9D1" w14:textId="77777777" w:rsidTr="004057D0">
        <w:tc>
          <w:tcPr>
            <w:tcW w:w="0" w:type="auto"/>
            <w:vAlign w:val="center"/>
          </w:tcPr>
          <w:p w14:paraId="1FC79B12"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EMPFPK</w:t>
            </w:r>
          </w:p>
        </w:tc>
        <w:tc>
          <w:tcPr>
            <w:tcW w:w="0" w:type="auto"/>
            <w:vAlign w:val="center"/>
          </w:tcPr>
          <w:p w14:paraId="4794D575"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687,87</w:t>
            </w:r>
          </w:p>
        </w:tc>
        <w:tc>
          <w:tcPr>
            <w:tcW w:w="0" w:type="auto"/>
            <w:vAlign w:val="center"/>
          </w:tcPr>
          <w:p w14:paraId="33CDD421"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2,02×10</w:t>
            </w:r>
            <w:r w:rsidRPr="007E1C5C">
              <w:rPr>
                <w:rFonts w:ascii="Times New Roman" w:hAnsi="Times New Roman" w:cs="Times New Roman"/>
                <w:vertAlign w:val="superscript"/>
                <w:lang w:val="es-MX"/>
              </w:rPr>
              <w:t>6</w:t>
            </w:r>
          </w:p>
        </w:tc>
        <w:tc>
          <w:tcPr>
            <w:tcW w:w="0" w:type="auto"/>
            <w:vAlign w:val="center"/>
          </w:tcPr>
          <w:p w14:paraId="7A4FBBAB"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61 - 66</w:t>
            </w:r>
          </w:p>
        </w:tc>
        <w:tc>
          <w:tcPr>
            <w:tcW w:w="0" w:type="auto"/>
            <w:vMerge/>
            <w:vAlign w:val="center"/>
          </w:tcPr>
          <w:p w14:paraId="5FDF8C79" w14:textId="77777777" w:rsidR="004057D0" w:rsidRPr="007E1C5C" w:rsidRDefault="004057D0" w:rsidP="004057D0">
            <w:pPr>
              <w:jc w:val="center"/>
              <w:rPr>
                <w:rFonts w:ascii="Times New Roman" w:hAnsi="Times New Roman" w:cs="Times New Roman"/>
                <w:lang w:val="es-MX"/>
              </w:rPr>
            </w:pPr>
          </w:p>
        </w:tc>
      </w:tr>
      <w:tr w:rsidR="004057D0" w:rsidRPr="007E1C5C" w14:paraId="7FC2A14A" w14:textId="77777777" w:rsidTr="004057D0">
        <w:tc>
          <w:tcPr>
            <w:tcW w:w="0" w:type="auto"/>
            <w:vAlign w:val="center"/>
          </w:tcPr>
          <w:p w14:paraId="58A88411"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AMPK</w:t>
            </w:r>
          </w:p>
        </w:tc>
        <w:tc>
          <w:tcPr>
            <w:tcW w:w="0" w:type="auto"/>
            <w:vAlign w:val="center"/>
          </w:tcPr>
          <w:p w14:paraId="53DF6268"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472,01</w:t>
            </w:r>
          </w:p>
        </w:tc>
        <w:tc>
          <w:tcPr>
            <w:tcW w:w="0" w:type="auto"/>
            <w:vAlign w:val="center"/>
          </w:tcPr>
          <w:p w14:paraId="3BCF0EA4"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2,68×10</w:t>
            </w:r>
            <w:r w:rsidRPr="007E1C5C">
              <w:rPr>
                <w:rFonts w:ascii="Times New Roman" w:hAnsi="Times New Roman" w:cs="Times New Roman"/>
                <w:vertAlign w:val="superscript"/>
                <w:lang w:val="es-MX"/>
              </w:rPr>
              <w:t>6</w:t>
            </w:r>
          </w:p>
        </w:tc>
        <w:tc>
          <w:tcPr>
            <w:tcW w:w="0" w:type="auto"/>
            <w:vAlign w:val="center"/>
          </w:tcPr>
          <w:p w14:paraId="117181C6"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180 - 183</w:t>
            </w:r>
          </w:p>
        </w:tc>
        <w:tc>
          <w:tcPr>
            <w:tcW w:w="0" w:type="auto"/>
            <w:vAlign w:val="center"/>
          </w:tcPr>
          <w:p w14:paraId="4A8C3463"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Caseína α</w:t>
            </w:r>
            <w:r w:rsidRPr="007E1C5C">
              <w:rPr>
                <w:rFonts w:ascii="Times New Roman" w:hAnsi="Times New Roman" w:cs="Times New Roman"/>
                <w:vertAlign w:val="subscript"/>
                <w:lang w:val="es-MX"/>
              </w:rPr>
              <w:t>S2</w:t>
            </w:r>
          </w:p>
        </w:tc>
      </w:tr>
      <w:tr w:rsidR="004057D0" w:rsidRPr="007E1C5C" w14:paraId="47C9A1E7" w14:textId="77777777" w:rsidTr="004057D0">
        <w:tc>
          <w:tcPr>
            <w:tcW w:w="0" w:type="auto"/>
            <w:vAlign w:val="center"/>
          </w:tcPr>
          <w:p w14:paraId="68B2803A"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YPF</w:t>
            </w:r>
          </w:p>
        </w:tc>
        <w:tc>
          <w:tcPr>
            <w:tcW w:w="0" w:type="auto"/>
            <w:vAlign w:val="center"/>
          </w:tcPr>
          <w:p w14:paraId="22EE2416"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444,95</w:t>
            </w:r>
          </w:p>
        </w:tc>
        <w:tc>
          <w:tcPr>
            <w:tcW w:w="0" w:type="auto"/>
            <w:vAlign w:val="center"/>
          </w:tcPr>
          <w:p w14:paraId="24EB32DD"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6,44×10</w:t>
            </w:r>
            <w:r w:rsidRPr="007E1C5C">
              <w:rPr>
                <w:rFonts w:ascii="Times New Roman" w:hAnsi="Times New Roman" w:cs="Times New Roman"/>
                <w:vertAlign w:val="superscript"/>
                <w:lang w:val="es-MX"/>
              </w:rPr>
              <w:t>6</w:t>
            </w:r>
          </w:p>
        </w:tc>
        <w:tc>
          <w:tcPr>
            <w:tcW w:w="0" w:type="auto"/>
            <w:vAlign w:val="center"/>
          </w:tcPr>
          <w:p w14:paraId="6E0B1E13"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60 - 62</w:t>
            </w:r>
          </w:p>
        </w:tc>
        <w:tc>
          <w:tcPr>
            <w:tcW w:w="0" w:type="auto"/>
            <w:vMerge w:val="restart"/>
            <w:vAlign w:val="center"/>
          </w:tcPr>
          <w:p w14:paraId="3B8DBE48" w14:textId="77777777" w:rsidR="004057D0" w:rsidRPr="007E1C5C" w:rsidRDefault="004057D0" w:rsidP="004057D0">
            <w:pPr>
              <w:jc w:val="center"/>
              <w:rPr>
                <w:rFonts w:ascii="Times New Roman" w:hAnsi="Times New Roman" w:cs="Times New Roman"/>
                <w:lang w:val="es-MX"/>
              </w:rPr>
            </w:pPr>
            <w:proofErr w:type="spellStart"/>
            <w:r w:rsidRPr="007E1C5C">
              <w:rPr>
                <w:rFonts w:ascii="Times New Roman" w:hAnsi="Times New Roman" w:cs="Times New Roman"/>
                <w:lang w:val="en-US"/>
              </w:rPr>
              <w:t>Caseína</w:t>
            </w:r>
            <w:proofErr w:type="spellEnd"/>
            <w:r w:rsidRPr="007E1C5C">
              <w:rPr>
                <w:rFonts w:ascii="Times New Roman" w:hAnsi="Times New Roman" w:cs="Times New Roman"/>
                <w:lang w:val="en-US"/>
              </w:rPr>
              <w:t xml:space="preserve"> β</w:t>
            </w:r>
          </w:p>
        </w:tc>
      </w:tr>
      <w:tr w:rsidR="004057D0" w:rsidRPr="007E1C5C" w14:paraId="2160A157" w14:textId="77777777" w:rsidTr="004057D0">
        <w:tc>
          <w:tcPr>
            <w:tcW w:w="0" w:type="auto"/>
            <w:vAlign w:val="center"/>
          </w:tcPr>
          <w:p w14:paraId="1D54FB47"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YPFV</w:t>
            </w:r>
          </w:p>
        </w:tc>
        <w:tc>
          <w:tcPr>
            <w:tcW w:w="0" w:type="auto"/>
            <w:vAlign w:val="center"/>
          </w:tcPr>
          <w:p w14:paraId="60389CE5"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460,92</w:t>
            </w:r>
          </w:p>
        </w:tc>
        <w:tc>
          <w:tcPr>
            <w:tcW w:w="0" w:type="auto"/>
            <w:vAlign w:val="center"/>
          </w:tcPr>
          <w:p w14:paraId="76E7EFAE"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6,56×10</w:t>
            </w:r>
            <w:r w:rsidRPr="007E1C5C">
              <w:rPr>
                <w:rFonts w:ascii="Times New Roman" w:hAnsi="Times New Roman" w:cs="Times New Roman"/>
                <w:vertAlign w:val="superscript"/>
                <w:lang w:val="es-MX"/>
              </w:rPr>
              <w:t>6</w:t>
            </w:r>
          </w:p>
        </w:tc>
        <w:tc>
          <w:tcPr>
            <w:tcW w:w="0" w:type="auto"/>
            <w:vAlign w:val="center"/>
          </w:tcPr>
          <w:p w14:paraId="3AE2D508"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60 - 63</w:t>
            </w:r>
          </w:p>
        </w:tc>
        <w:tc>
          <w:tcPr>
            <w:tcW w:w="0" w:type="auto"/>
            <w:vMerge/>
            <w:vAlign w:val="center"/>
          </w:tcPr>
          <w:p w14:paraId="2B136043" w14:textId="77777777" w:rsidR="004057D0" w:rsidRPr="007E1C5C" w:rsidRDefault="004057D0" w:rsidP="004057D0">
            <w:pPr>
              <w:jc w:val="center"/>
              <w:rPr>
                <w:rFonts w:ascii="Times New Roman" w:hAnsi="Times New Roman" w:cs="Times New Roman"/>
                <w:lang w:val="es-MX"/>
              </w:rPr>
            </w:pPr>
          </w:p>
        </w:tc>
      </w:tr>
      <w:tr w:rsidR="004057D0" w:rsidRPr="007E1C5C" w14:paraId="7F29D2AC" w14:textId="77777777" w:rsidTr="004057D0">
        <w:tc>
          <w:tcPr>
            <w:tcW w:w="0" w:type="auto"/>
            <w:vAlign w:val="center"/>
          </w:tcPr>
          <w:p w14:paraId="131A4686"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YPFVE</w:t>
            </w:r>
          </w:p>
        </w:tc>
        <w:tc>
          <w:tcPr>
            <w:tcW w:w="0" w:type="auto"/>
            <w:vAlign w:val="center"/>
          </w:tcPr>
          <w:p w14:paraId="721033D4"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601,06</w:t>
            </w:r>
          </w:p>
        </w:tc>
        <w:tc>
          <w:tcPr>
            <w:tcW w:w="0" w:type="auto"/>
            <w:vAlign w:val="center"/>
          </w:tcPr>
          <w:p w14:paraId="72A15236"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3,37×10</w:t>
            </w:r>
            <w:r w:rsidRPr="007E1C5C">
              <w:rPr>
                <w:rFonts w:ascii="Times New Roman" w:hAnsi="Times New Roman" w:cs="Times New Roman"/>
                <w:vertAlign w:val="superscript"/>
                <w:lang w:val="es-MX"/>
              </w:rPr>
              <w:t>6</w:t>
            </w:r>
          </w:p>
        </w:tc>
        <w:tc>
          <w:tcPr>
            <w:tcW w:w="0" w:type="auto"/>
            <w:vAlign w:val="center"/>
          </w:tcPr>
          <w:p w14:paraId="31DBC7BF"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60 - 64</w:t>
            </w:r>
          </w:p>
        </w:tc>
        <w:tc>
          <w:tcPr>
            <w:tcW w:w="0" w:type="auto"/>
            <w:vMerge/>
            <w:vAlign w:val="center"/>
          </w:tcPr>
          <w:p w14:paraId="578AB40A" w14:textId="77777777" w:rsidR="004057D0" w:rsidRPr="007E1C5C" w:rsidRDefault="004057D0" w:rsidP="004057D0">
            <w:pPr>
              <w:jc w:val="center"/>
              <w:rPr>
                <w:rFonts w:ascii="Times New Roman" w:hAnsi="Times New Roman" w:cs="Times New Roman"/>
                <w:lang w:val="es-MX"/>
              </w:rPr>
            </w:pPr>
          </w:p>
        </w:tc>
      </w:tr>
      <w:tr w:rsidR="004057D0" w:rsidRPr="007E1C5C" w14:paraId="31B81894" w14:textId="77777777" w:rsidTr="004057D0">
        <w:tc>
          <w:tcPr>
            <w:tcW w:w="0" w:type="auto"/>
            <w:vAlign w:val="center"/>
          </w:tcPr>
          <w:p w14:paraId="02841809"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PPFL</w:t>
            </w:r>
          </w:p>
        </w:tc>
        <w:tc>
          <w:tcPr>
            <w:tcW w:w="0" w:type="auto"/>
            <w:vAlign w:val="center"/>
          </w:tcPr>
          <w:p w14:paraId="209AB503"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472,01</w:t>
            </w:r>
          </w:p>
        </w:tc>
        <w:tc>
          <w:tcPr>
            <w:tcW w:w="0" w:type="auto"/>
            <w:vAlign w:val="center"/>
          </w:tcPr>
          <w:p w14:paraId="6A1F0038"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1,01×10</w:t>
            </w:r>
            <w:r w:rsidRPr="007E1C5C">
              <w:rPr>
                <w:rFonts w:ascii="Times New Roman" w:hAnsi="Times New Roman" w:cs="Times New Roman"/>
                <w:vertAlign w:val="superscript"/>
                <w:lang w:val="es-MX"/>
              </w:rPr>
              <w:t>6</w:t>
            </w:r>
          </w:p>
        </w:tc>
        <w:tc>
          <w:tcPr>
            <w:tcW w:w="0" w:type="auto"/>
            <w:vAlign w:val="center"/>
          </w:tcPr>
          <w:p w14:paraId="425843CD"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74 -77</w:t>
            </w:r>
          </w:p>
        </w:tc>
        <w:tc>
          <w:tcPr>
            <w:tcW w:w="0" w:type="auto"/>
            <w:vMerge/>
            <w:vAlign w:val="center"/>
          </w:tcPr>
          <w:p w14:paraId="4F2DF90C" w14:textId="77777777" w:rsidR="004057D0" w:rsidRPr="007E1C5C" w:rsidRDefault="004057D0" w:rsidP="004057D0">
            <w:pPr>
              <w:jc w:val="center"/>
              <w:rPr>
                <w:rFonts w:ascii="Times New Roman" w:hAnsi="Times New Roman" w:cs="Times New Roman"/>
                <w:lang w:val="es-MX"/>
              </w:rPr>
            </w:pPr>
          </w:p>
        </w:tc>
      </w:tr>
      <w:tr w:rsidR="004057D0" w:rsidRPr="007E1C5C" w14:paraId="189DD365" w14:textId="77777777" w:rsidTr="004057D0">
        <w:tc>
          <w:tcPr>
            <w:tcW w:w="0" w:type="auto"/>
            <w:vAlign w:val="center"/>
          </w:tcPr>
          <w:p w14:paraId="7E93A9B9"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VPP</w:t>
            </w:r>
          </w:p>
        </w:tc>
        <w:tc>
          <w:tcPr>
            <w:tcW w:w="0" w:type="auto"/>
            <w:vAlign w:val="center"/>
          </w:tcPr>
          <w:p w14:paraId="01E314BF"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311,02</w:t>
            </w:r>
          </w:p>
        </w:tc>
        <w:tc>
          <w:tcPr>
            <w:tcW w:w="0" w:type="auto"/>
            <w:vAlign w:val="center"/>
          </w:tcPr>
          <w:p w14:paraId="7F9FA4A5"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1,60×10</w:t>
            </w:r>
            <w:r w:rsidRPr="007E1C5C">
              <w:rPr>
                <w:rFonts w:ascii="Times New Roman" w:hAnsi="Times New Roman" w:cs="Times New Roman"/>
                <w:vertAlign w:val="superscript"/>
                <w:lang w:val="es-MX"/>
              </w:rPr>
              <w:t>6</w:t>
            </w:r>
          </w:p>
        </w:tc>
        <w:tc>
          <w:tcPr>
            <w:tcW w:w="0" w:type="auto"/>
            <w:vAlign w:val="center"/>
          </w:tcPr>
          <w:p w14:paraId="2A7C562A"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84 - 86</w:t>
            </w:r>
          </w:p>
        </w:tc>
        <w:tc>
          <w:tcPr>
            <w:tcW w:w="0" w:type="auto"/>
            <w:vMerge/>
            <w:vAlign w:val="center"/>
          </w:tcPr>
          <w:p w14:paraId="7F025C5A" w14:textId="77777777" w:rsidR="004057D0" w:rsidRPr="007E1C5C" w:rsidRDefault="004057D0" w:rsidP="004057D0">
            <w:pPr>
              <w:jc w:val="center"/>
              <w:rPr>
                <w:rFonts w:ascii="Times New Roman" w:hAnsi="Times New Roman" w:cs="Times New Roman"/>
                <w:lang w:val="es-MX"/>
              </w:rPr>
            </w:pPr>
          </w:p>
        </w:tc>
      </w:tr>
      <w:tr w:rsidR="004057D0" w:rsidRPr="007E1C5C" w14:paraId="324CDADC" w14:textId="77777777" w:rsidTr="004057D0">
        <w:tc>
          <w:tcPr>
            <w:tcW w:w="0" w:type="auto"/>
            <w:vAlign w:val="center"/>
          </w:tcPr>
          <w:p w14:paraId="79C39657"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VAPF</w:t>
            </w:r>
          </w:p>
        </w:tc>
        <w:tc>
          <w:tcPr>
            <w:tcW w:w="0" w:type="auto"/>
            <w:vAlign w:val="center"/>
          </w:tcPr>
          <w:p w14:paraId="5F6B80D6"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460,07</w:t>
            </w:r>
          </w:p>
        </w:tc>
        <w:tc>
          <w:tcPr>
            <w:tcW w:w="0" w:type="auto"/>
            <w:vAlign w:val="center"/>
          </w:tcPr>
          <w:p w14:paraId="3A3A8E0D"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3,09×10</w:t>
            </w:r>
            <w:r w:rsidRPr="007E1C5C">
              <w:rPr>
                <w:rFonts w:ascii="Times New Roman" w:hAnsi="Times New Roman" w:cs="Times New Roman"/>
                <w:vertAlign w:val="superscript"/>
                <w:lang w:val="es-MX"/>
              </w:rPr>
              <w:t>6</w:t>
            </w:r>
          </w:p>
        </w:tc>
        <w:tc>
          <w:tcPr>
            <w:tcW w:w="0" w:type="auto"/>
            <w:vAlign w:val="center"/>
          </w:tcPr>
          <w:p w14:paraId="7368494F"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84 - 87</w:t>
            </w:r>
          </w:p>
        </w:tc>
        <w:tc>
          <w:tcPr>
            <w:tcW w:w="0" w:type="auto"/>
            <w:vMerge/>
            <w:vAlign w:val="center"/>
          </w:tcPr>
          <w:p w14:paraId="02D14B92" w14:textId="77777777" w:rsidR="004057D0" w:rsidRPr="007E1C5C" w:rsidRDefault="004057D0" w:rsidP="004057D0">
            <w:pPr>
              <w:jc w:val="center"/>
              <w:rPr>
                <w:rFonts w:ascii="Times New Roman" w:hAnsi="Times New Roman" w:cs="Times New Roman"/>
                <w:lang w:val="es-MX"/>
              </w:rPr>
            </w:pPr>
          </w:p>
        </w:tc>
      </w:tr>
      <w:tr w:rsidR="004057D0" w:rsidRPr="007E1C5C" w14:paraId="2596C5A2" w14:textId="77777777" w:rsidTr="004057D0">
        <w:tc>
          <w:tcPr>
            <w:tcW w:w="0" w:type="auto"/>
            <w:vAlign w:val="center"/>
          </w:tcPr>
          <w:p w14:paraId="4974F3F4"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VAPFPEV</w:t>
            </w:r>
          </w:p>
        </w:tc>
        <w:tc>
          <w:tcPr>
            <w:tcW w:w="0" w:type="auto"/>
            <w:vAlign w:val="center"/>
          </w:tcPr>
          <w:p w14:paraId="26BFB3CE"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655,93</w:t>
            </w:r>
          </w:p>
        </w:tc>
        <w:tc>
          <w:tcPr>
            <w:tcW w:w="0" w:type="auto"/>
            <w:vAlign w:val="center"/>
          </w:tcPr>
          <w:p w14:paraId="2361A959"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7,78×10</w:t>
            </w:r>
            <w:r w:rsidRPr="007E1C5C">
              <w:rPr>
                <w:rFonts w:ascii="Times New Roman" w:hAnsi="Times New Roman" w:cs="Times New Roman"/>
                <w:vertAlign w:val="superscript"/>
                <w:lang w:val="es-MX"/>
              </w:rPr>
              <w:t>6</w:t>
            </w:r>
          </w:p>
        </w:tc>
        <w:tc>
          <w:tcPr>
            <w:tcW w:w="0" w:type="auto"/>
            <w:vAlign w:val="center"/>
          </w:tcPr>
          <w:p w14:paraId="74AA880E"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84 - 90</w:t>
            </w:r>
          </w:p>
        </w:tc>
        <w:tc>
          <w:tcPr>
            <w:tcW w:w="0" w:type="auto"/>
            <w:vMerge/>
            <w:vAlign w:val="center"/>
          </w:tcPr>
          <w:p w14:paraId="4D32814A" w14:textId="77777777" w:rsidR="004057D0" w:rsidRPr="007E1C5C" w:rsidRDefault="004057D0" w:rsidP="004057D0">
            <w:pPr>
              <w:jc w:val="center"/>
              <w:rPr>
                <w:rFonts w:ascii="Times New Roman" w:hAnsi="Times New Roman" w:cs="Times New Roman"/>
                <w:lang w:val="es-MX"/>
              </w:rPr>
            </w:pPr>
          </w:p>
        </w:tc>
      </w:tr>
      <w:tr w:rsidR="004057D0" w:rsidRPr="007E1C5C" w14:paraId="3F0F5EA2" w14:textId="77777777" w:rsidTr="004057D0">
        <w:tc>
          <w:tcPr>
            <w:tcW w:w="0" w:type="auto"/>
            <w:vAlign w:val="center"/>
          </w:tcPr>
          <w:p w14:paraId="242891D9"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EMPFP</w:t>
            </w:r>
          </w:p>
        </w:tc>
        <w:tc>
          <w:tcPr>
            <w:tcW w:w="0" w:type="auto"/>
            <w:vAlign w:val="center"/>
          </w:tcPr>
          <w:p w14:paraId="436FFBF0"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619,05</w:t>
            </w:r>
          </w:p>
        </w:tc>
        <w:tc>
          <w:tcPr>
            <w:tcW w:w="0" w:type="auto"/>
            <w:vAlign w:val="center"/>
          </w:tcPr>
          <w:p w14:paraId="3A20F251"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6,94×10</w:t>
            </w:r>
            <w:r w:rsidRPr="007E1C5C">
              <w:rPr>
                <w:rFonts w:ascii="Times New Roman" w:hAnsi="Times New Roman" w:cs="Times New Roman"/>
                <w:vertAlign w:val="superscript"/>
                <w:lang w:val="es-MX"/>
              </w:rPr>
              <w:t>5</w:t>
            </w:r>
          </w:p>
        </w:tc>
        <w:tc>
          <w:tcPr>
            <w:tcW w:w="0" w:type="auto"/>
            <w:vAlign w:val="center"/>
          </w:tcPr>
          <w:p w14:paraId="1CFCD5E2"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108 - 112</w:t>
            </w:r>
          </w:p>
        </w:tc>
        <w:tc>
          <w:tcPr>
            <w:tcW w:w="0" w:type="auto"/>
            <w:vMerge/>
            <w:vAlign w:val="center"/>
          </w:tcPr>
          <w:p w14:paraId="2AA60B61" w14:textId="77777777" w:rsidR="004057D0" w:rsidRPr="007E1C5C" w:rsidRDefault="004057D0" w:rsidP="004057D0">
            <w:pPr>
              <w:jc w:val="center"/>
              <w:rPr>
                <w:rFonts w:ascii="Times New Roman" w:hAnsi="Times New Roman" w:cs="Times New Roman"/>
                <w:lang w:val="es-MX"/>
              </w:rPr>
            </w:pPr>
          </w:p>
        </w:tc>
      </w:tr>
      <w:tr w:rsidR="004057D0" w:rsidRPr="007E1C5C" w14:paraId="773A28DF" w14:textId="77777777" w:rsidTr="004057D0">
        <w:tc>
          <w:tcPr>
            <w:tcW w:w="0" w:type="auto"/>
            <w:vAlign w:val="center"/>
          </w:tcPr>
          <w:p w14:paraId="4BAE30E3"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FALPQ</w:t>
            </w:r>
          </w:p>
        </w:tc>
        <w:tc>
          <w:tcPr>
            <w:tcW w:w="0" w:type="auto"/>
            <w:vAlign w:val="center"/>
          </w:tcPr>
          <w:p w14:paraId="74964B9B"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476,04</w:t>
            </w:r>
          </w:p>
        </w:tc>
        <w:tc>
          <w:tcPr>
            <w:tcW w:w="0" w:type="auto"/>
            <w:vAlign w:val="center"/>
          </w:tcPr>
          <w:p w14:paraId="44DF5CAA"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1,84×10</w:t>
            </w:r>
            <w:r w:rsidRPr="007E1C5C">
              <w:rPr>
                <w:rFonts w:ascii="Times New Roman" w:hAnsi="Times New Roman" w:cs="Times New Roman"/>
                <w:vertAlign w:val="superscript"/>
                <w:lang w:val="es-MX"/>
              </w:rPr>
              <w:t>6</w:t>
            </w:r>
          </w:p>
        </w:tc>
        <w:tc>
          <w:tcPr>
            <w:tcW w:w="0" w:type="auto"/>
            <w:vAlign w:val="center"/>
          </w:tcPr>
          <w:p w14:paraId="47F2BA34"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157 - 161</w:t>
            </w:r>
          </w:p>
        </w:tc>
        <w:tc>
          <w:tcPr>
            <w:tcW w:w="0" w:type="auto"/>
            <w:vMerge/>
            <w:vAlign w:val="center"/>
          </w:tcPr>
          <w:p w14:paraId="45DE2B91" w14:textId="77777777" w:rsidR="004057D0" w:rsidRPr="007E1C5C" w:rsidRDefault="004057D0" w:rsidP="004057D0">
            <w:pPr>
              <w:jc w:val="center"/>
              <w:rPr>
                <w:rFonts w:ascii="Times New Roman" w:hAnsi="Times New Roman" w:cs="Times New Roman"/>
                <w:lang w:val="es-MX"/>
              </w:rPr>
            </w:pPr>
          </w:p>
        </w:tc>
      </w:tr>
      <w:tr w:rsidR="004057D0" w:rsidRPr="007E1C5C" w14:paraId="48719A13" w14:textId="77777777" w:rsidTr="004057D0">
        <w:tc>
          <w:tcPr>
            <w:tcW w:w="0" w:type="auto"/>
            <w:vAlign w:val="center"/>
          </w:tcPr>
          <w:p w14:paraId="0D3EF2FE"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KLPVPQ</w:t>
            </w:r>
          </w:p>
        </w:tc>
        <w:tc>
          <w:tcPr>
            <w:tcW w:w="0" w:type="auto"/>
            <w:vAlign w:val="center"/>
          </w:tcPr>
          <w:p w14:paraId="42FCB70A"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671,90</w:t>
            </w:r>
          </w:p>
        </w:tc>
        <w:tc>
          <w:tcPr>
            <w:tcW w:w="0" w:type="auto"/>
            <w:vAlign w:val="center"/>
          </w:tcPr>
          <w:p w14:paraId="7406E062"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6,97×10</w:t>
            </w:r>
            <w:r w:rsidRPr="007E1C5C">
              <w:rPr>
                <w:rFonts w:ascii="Times New Roman" w:hAnsi="Times New Roman" w:cs="Times New Roman"/>
                <w:vertAlign w:val="superscript"/>
                <w:lang w:val="es-MX"/>
              </w:rPr>
              <w:t>6</w:t>
            </w:r>
          </w:p>
        </w:tc>
        <w:tc>
          <w:tcPr>
            <w:tcW w:w="0" w:type="auto"/>
            <w:vAlign w:val="center"/>
          </w:tcPr>
          <w:p w14:paraId="46DB0311"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 xml:space="preserve">169 - 175 </w:t>
            </w:r>
          </w:p>
        </w:tc>
        <w:tc>
          <w:tcPr>
            <w:tcW w:w="0" w:type="auto"/>
            <w:vMerge/>
            <w:vAlign w:val="center"/>
          </w:tcPr>
          <w:p w14:paraId="5B117991" w14:textId="77777777" w:rsidR="004057D0" w:rsidRPr="007E1C5C" w:rsidRDefault="004057D0" w:rsidP="004057D0">
            <w:pPr>
              <w:jc w:val="center"/>
              <w:rPr>
                <w:rFonts w:ascii="Times New Roman" w:hAnsi="Times New Roman" w:cs="Times New Roman"/>
                <w:lang w:val="es-MX"/>
              </w:rPr>
            </w:pPr>
          </w:p>
        </w:tc>
      </w:tr>
      <w:tr w:rsidR="004057D0" w:rsidRPr="007E1C5C" w14:paraId="61229858" w14:textId="77777777" w:rsidTr="004057D0">
        <w:tc>
          <w:tcPr>
            <w:tcW w:w="0" w:type="auto"/>
            <w:vAlign w:val="center"/>
          </w:tcPr>
          <w:p w14:paraId="4930A20B"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VPYP</w:t>
            </w:r>
          </w:p>
        </w:tc>
        <w:tc>
          <w:tcPr>
            <w:tcW w:w="0" w:type="auto"/>
            <w:vAlign w:val="center"/>
          </w:tcPr>
          <w:p w14:paraId="69C56359"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456,04</w:t>
            </w:r>
          </w:p>
        </w:tc>
        <w:tc>
          <w:tcPr>
            <w:tcW w:w="0" w:type="auto"/>
            <w:vAlign w:val="center"/>
          </w:tcPr>
          <w:p w14:paraId="548147FD"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5,52×10</w:t>
            </w:r>
            <w:r w:rsidRPr="007E1C5C">
              <w:rPr>
                <w:rFonts w:ascii="Times New Roman" w:hAnsi="Times New Roman" w:cs="Times New Roman"/>
                <w:vertAlign w:val="superscript"/>
                <w:lang w:val="es-MX"/>
              </w:rPr>
              <w:t>6</w:t>
            </w:r>
          </w:p>
        </w:tc>
        <w:tc>
          <w:tcPr>
            <w:tcW w:w="0" w:type="auto"/>
            <w:vAlign w:val="center"/>
          </w:tcPr>
          <w:p w14:paraId="7EB39C02"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179 - 182</w:t>
            </w:r>
          </w:p>
        </w:tc>
        <w:tc>
          <w:tcPr>
            <w:tcW w:w="0" w:type="auto"/>
            <w:vMerge/>
            <w:vAlign w:val="center"/>
          </w:tcPr>
          <w:p w14:paraId="4B74F688" w14:textId="77777777" w:rsidR="004057D0" w:rsidRPr="007E1C5C" w:rsidRDefault="004057D0" w:rsidP="004057D0">
            <w:pPr>
              <w:jc w:val="center"/>
              <w:rPr>
                <w:rFonts w:ascii="Times New Roman" w:hAnsi="Times New Roman" w:cs="Times New Roman"/>
                <w:lang w:val="es-MX"/>
              </w:rPr>
            </w:pPr>
          </w:p>
        </w:tc>
      </w:tr>
      <w:tr w:rsidR="004057D0" w:rsidRPr="007E1C5C" w14:paraId="51792D8B" w14:textId="77777777" w:rsidTr="004057D0">
        <w:tc>
          <w:tcPr>
            <w:tcW w:w="0" w:type="auto"/>
            <w:vAlign w:val="center"/>
          </w:tcPr>
          <w:p w14:paraId="073B591D"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n-US"/>
              </w:rPr>
              <w:t>DMPIQA</w:t>
            </w:r>
          </w:p>
        </w:tc>
        <w:tc>
          <w:tcPr>
            <w:tcW w:w="0" w:type="auto"/>
            <w:vAlign w:val="center"/>
          </w:tcPr>
          <w:p w14:paraId="0AD66BA7"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672,90</w:t>
            </w:r>
          </w:p>
        </w:tc>
        <w:tc>
          <w:tcPr>
            <w:tcW w:w="0" w:type="auto"/>
            <w:vAlign w:val="center"/>
          </w:tcPr>
          <w:p w14:paraId="5EECAF65"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1,02×10</w:t>
            </w:r>
            <w:r w:rsidRPr="007E1C5C">
              <w:rPr>
                <w:rFonts w:ascii="Times New Roman" w:hAnsi="Times New Roman" w:cs="Times New Roman"/>
                <w:vertAlign w:val="superscript"/>
                <w:lang w:val="es-MX"/>
              </w:rPr>
              <w:t>6</w:t>
            </w:r>
          </w:p>
        </w:tc>
        <w:tc>
          <w:tcPr>
            <w:tcW w:w="0" w:type="auto"/>
            <w:vAlign w:val="center"/>
          </w:tcPr>
          <w:p w14:paraId="3911ABB4" w14:textId="77777777" w:rsidR="004057D0" w:rsidRPr="007E1C5C" w:rsidRDefault="004057D0" w:rsidP="004057D0">
            <w:pPr>
              <w:jc w:val="center"/>
              <w:rPr>
                <w:rFonts w:ascii="Times New Roman" w:hAnsi="Times New Roman" w:cs="Times New Roman"/>
                <w:lang w:val="es-MX"/>
              </w:rPr>
            </w:pPr>
            <w:r w:rsidRPr="007E1C5C">
              <w:rPr>
                <w:rFonts w:ascii="Times New Roman" w:hAnsi="Times New Roman" w:cs="Times New Roman"/>
                <w:lang w:val="es-MX"/>
              </w:rPr>
              <w:t>200 - 205</w:t>
            </w:r>
          </w:p>
        </w:tc>
        <w:tc>
          <w:tcPr>
            <w:tcW w:w="0" w:type="auto"/>
            <w:vMerge/>
            <w:vAlign w:val="center"/>
          </w:tcPr>
          <w:p w14:paraId="75F4F573" w14:textId="77777777" w:rsidR="004057D0" w:rsidRPr="007E1C5C" w:rsidRDefault="004057D0" w:rsidP="004057D0">
            <w:pPr>
              <w:jc w:val="center"/>
              <w:rPr>
                <w:rFonts w:ascii="Times New Roman" w:hAnsi="Times New Roman" w:cs="Times New Roman"/>
                <w:lang w:val="es-MX"/>
              </w:rPr>
            </w:pPr>
          </w:p>
        </w:tc>
      </w:tr>
    </w:tbl>
    <w:p w14:paraId="49B24A37" w14:textId="77777777" w:rsidR="002A6FB3" w:rsidRDefault="002A6FB3"/>
    <w:p w14:paraId="46BCEF8B" w14:textId="536A8697" w:rsidR="004057D0" w:rsidRPr="004057D0" w:rsidRDefault="004057D0">
      <w:pPr>
        <w:rPr>
          <w:rFonts w:cs="Calibri"/>
          <w:i/>
          <w:iCs/>
          <w:lang w:val="es-MX"/>
        </w:rPr>
      </w:pPr>
      <w:r w:rsidRPr="004057D0">
        <w:rPr>
          <w:rFonts w:cs="Calibri"/>
          <w:i/>
          <w:iCs/>
          <w:lang w:val="es-MX"/>
        </w:rPr>
        <w:t>Comparación de los fragmentos peptídicos del hidrolizado</w:t>
      </w:r>
    </w:p>
    <w:p w14:paraId="4E8F0824" w14:textId="40AC83C1" w:rsidR="004057D0" w:rsidRDefault="004057D0">
      <w:pPr>
        <w:rPr>
          <w:rFonts w:cs="Calibri"/>
          <w:lang w:val="es-MX"/>
        </w:rPr>
      </w:pPr>
      <w:r>
        <w:rPr>
          <w:rFonts w:cs="Calibri"/>
          <w:lang w:val="es-MX"/>
        </w:rPr>
        <w:t xml:space="preserve">La base de datos de BIOPEP-UWM permitió identificar 1 dipéptido, 2 tripéptidos, 7 </w:t>
      </w:r>
      <w:proofErr w:type="spellStart"/>
      <w:r>
        <w:rPr>
          <w:rFonts w:cs="Calibri"/>
          <w:lang w:val="es-MX"/>
        </w:rPr>
        <w:t>tetrapéptidos</w:t>
      </w:r>
      <w:proofErr w:type="spellEnd"/>
      <w:r>
        <w:rPr>
          <w:rFonts w:cs="Calibri"/>
          <w:lang w:val="es-MX"/>
        </w:rPr>
        <w:t xml:space="preserve"> y 8 oligopéptidos no tóxicos y con diferentes </w:t>
      </w:r>
      <w:proofErr w:type="spellStart"/>
      <w:r>
        <w:rPr>
          <w:rFonts w:cs="Calibri"/>
          <w:lang w:val="es-MX"/>
        </w:rPr>
        <w:t>biofuncionalidades</w:t>
      </w:r>
      <w:proofErr w:type="spellEnd"/>
      <w:r>
        <w:rPr>
          <w:rFonts w:cs="Calibri"/>
          <w:lang w:val="es-MX"/>
        </w:rPr>
        <w:t xml:space="preserve"> (</w:t>
      </w:r>
      <w:r w:rsidRPr="00736DD4">
        <w:rPr>
          <w:rFonts w:cs="Calibri"/>
          <w:b/>
          <w:bCs/>
          <w:lang w:val="es-MX"/>
        </w:rPr>
        <w:t>Tabla 2</w:t>
      </w:r>
      <w:r>
        <w:rPr>
          <w:rFonts w:cs="Calibri"/>
          <w:lang w:val="es-MX"/>
        </w:rPr>
        <w:t xml:space="preserve">). La plataforma </w:t>
      </w:r>
      <w:proofErr w:type="spellStart"/>
      <w:r>
        <w:rPr>
          <w:lang w:val="es-MX"/>
        </w:rPr>
        <w:t>AnOxPePred</w:t>
      </w:r>
      <w:proofErr w:type="spellEnd"/>
      <w:r>
        <w:rPr>
          <w:lang w:val="es-MX"/>
        </w:rPr>
        <w:t xml:space="preserve"> 1.0 </w:t>
      </w:r>
      <w:r>
        <w:rPr>
          <w:rFonts w:cs="Calibri"/>
          <w:lang w:val="es-MX"/>
        </w:rPr>
        <w:t xml:space="preserve">permitió predecir que la mayoría de los péptidos identificados presentaban actividad antioxidante, ya sea por acción </w:t>
      </w:r>
      <w:proofErr w:type="spellStart"/>
      <w:r>
        <w:rPr>
          <w:rFonts w:cs="Calibri"/>
          <w:lang w:val="es-MX"/>
        </w:rPr>
        <w:t>antirradicalaria</w:t>
      </w:r>
      <w:proofErr w:type="spellEnd"/>
      <w:r>
        <w:rPr>
          <w:rFonts w:cs="Calibri"/>
          <w:lang w:val="es-MX"/>
        </w:rPr>
        <w:t xml:space="preserve"> o por efecto quelante frente a minerales. La segunda mayor proporción de los péptidos identificados presentaba actividad antihipertensiva debido a la inhibición de la enzima convertidora de angiotensina (ECA), tal como fue predicho por la plataforma </w:t>
      </w:r>
      <w:proofErr w:type="spellStart"/>
      <w:r>
        <w:rPr>
          <w:lang w:val="es-MX"/>
        </w:rPr>
        <w:t>PreAIP</w:t>
      </w:r>
      <w:proofErr w:type="spellEnd"/>
      <w:r>
        <w:rPr>
          <w:lang w:val="es-MX"/>
        </w:rPr>
        <w:t xml:space="preserve">. Generalmente, la hidrólisis de proteínas lácteas por parte de este tipo de microorganismos resulta en la producción de péptidos bioactivos con propiedades antioxidantes y antihipertensivas. En este sentido, la cepa </w:t>
      </w:r>
      <w:r w:rsidR="00BB08A0" w:rsidRPr="00BB08A0">
        <w:rPr>
          <w:i/>
          <w:iCs/>
          <w:lang w:val="es-MX"/>
        </w:rPr>
        <w:t>L.</w:t>
      </w:r>
      <w:r>
        <w:rPr>
          <w:i/>
          <w:iCs/>
          <w:lang w:val="es-MX"/>
        </w:rPr>
        <w:t xml:space="preserve"> </w:t>
      </w:r>
      <w:proofErr w:type="spellStart"/>
      <w:r>
        <w:rPr>
          <w:i/>
          <w:iCs/>
          <w:lang w:val="es-MX"/>
        </w:rPr>
        <w:t>plantarum</w:t>
      </w:r>
      <w:proofErr w:type="spellEnd"/>
      <w:r>
        <w:rPr>
          <w:i/>
          <w:iCs/>
          <w:lang w:val="es-MX"/>
        </w:rPr>
        <w:t xml:space="preserve"> </w:t>
      </w:r>
      <w:r>
        <w:rPr>
          <w:lang w:val="es-MX"/>
        </w:rPr>
        <w:t>CECT 748 fue capaz de generar una gran cantidad de péptidos antioxidantes luego de la fermentación de lactosuero comercial, debido a la capacidad de liberar endopeptidasas al medio extracelular (Luz et al. 2018). En cuanto a los efectos antihipertensivos, estos surgen a partir de la producción de un decapéptido en particular: la angiotensina I. Este último es el sustrato de la ECA, la cual interviene en la transformación a angiotensina II, un poderoso factor vasoconstrictor (</w:t>
      </w:r>
      <w:proofErr w:type="spellStart"/>
      <w:r>
        <w:rPr>
          <w:lang w:val="es-MX"/>
        </w:rPr>
        <w:t>Pihlanto</w:t>
      </w:r>
      <w:proofErr w:type="spellEnd"/>
      <w:r>
        <w:rPr>
          <w:lang w:val="es-MX"/>
        </w:rPr>
        <w:t xml:space="preserve"> et al. 2010). En este caso, que la cepa de trabajo </w:t>
      </w:r>
      <w:r w:rsidR="00BB08A0" w:rsidRPr="00BB08A0">
        <w:rPr>
          <w:i/>
          <w:iCs/>
          <w:lang w:val="es-MX"/>
        </w:rPr>
        <w:t>L.</w:t>
      </w:r>
      <w:r>
        <w:rPr>
          <w:i/>
          <w:iCs/>
          <w:lang w:val="es-MX"/>
        </w:rPr>
        <w:t xml:space="preserve"> </w:t>
      </w:r>
      <w:proofErr w:type="spellStart"/>
      <w:r>
        <w:rPr>
          <w:i/>
          <w:iCs/>
          <w:lang w:val="es-MX"/>
        </w:rPr>
        <w:t>plantarum</w:t>
      </w:r>
      <w:proofErr w:type="spellEnd"/>
      <w:r>
        <w:rPr>
          <w:i/>
          <w:iCs/>
          <w:lang w:val="es-MX"/>
        </w:rPr>
        <w:t xml:space="preserve"> </w:t>
      </w:r>
      <w:r>
        <w:rPr>
          <w:lang w:val="es-MX"/>
        </w:rPr>
        <w:t xml:space="preserve">CB2 sea capaz de producir péptidos inhibidores de la ECA a partir de la hidrólisis de caseína, condice con lo reportado para las cepas </w:t>
      </w:r>
      <w:r w:rsidR="00BB08A0" w:rsidRPr="00BB08A0">
        <w:rPr>
          <w:i/>
          <w:iCs/>
          <w:lang w:val="es-MX"/>
        </w:rPr>
        <w:t>L.</w:t>
      </w:r>
      <w:r>
        <w:rPr>
          <w:i/>
          <w:iCs/>
          <w:lang w:val="es-MX"/>
        </w:rPr>
        <w:t xml:space="preserve"> </w:t>
      </w:r>
      <w:proofErr w:type="spellStart"/>
      <w:r>
        <w:rPr>
          <w:i/>
          <w:iCs/>
          <w:lang w:val="es-MX"/>
        </w:rPr>
        <w:t>plantarum</w:t>
      </w:r>
      <w:proofErr w:type="spellEnd"/>
      <w:r>
        <w:rPr>
          <w:i/>
          <w:iCs/>
          <w:lang w:val="es-MX"/>
        </w:rPr>
        <w:t xml:space="preserve"> </w:t>
      </w:r>
      <w:r>
        <w:rPr>
          <w:lang w:val="es-MX"/>
        </w:rPr>
        <w:t xml:space="preserve">L69 (Wang et al. 2022), </w:t>
      </w:r>
      <w:r w:rsidR="00BB08A0" w:rsidRPr="00BB08A0">
        <w:rPr>
          <w:i/>
          <w:iCs/>
          <w:lang w:val="es-MX"/>
        </w:rPr>
        <w:t>L.</w:t>
      </w:r>
      <w:r>
        <w:rPr>
          <w:i/>
          <w:iCs/>
          <w:lang w:val="es-MX"/>
        </w:rPr>
        <w:t xml:space="preserve"> </w:t>
      </w:r>
      <w:proofErr w:type="spellStart"/>
      <w:r>
        <w:rPr>
          <w:i/>
          <w:iCs/>
          <w:lang w:val="es-MX"/>
        </w:rPr>
        <w:t>plantarum</w:t>
      </w:r>
      <w:proofErr w:type="spellEnd"/>
      <w:r>
        <w:rPr>
          <w:i/>
          <w:iCs/>
          <w:lang w:val="es-MX"/>
        </w:rPr>
        <w:t xml:space="preserve"> </w:t>
      </w:r>
      <w:r>
        <w:rPr>
          <w:lang w:val="es-MX"/>
        </w:rPr>
        <w:t xml:space="preserve">K25 (Min et al. 2020), </w:t>
      </w:r>
      <w:r w:rsidR="00BB08A0" w:rsidRPr="00BB08A0">
        <w:rPr>
          <w:i/>
          <w:iCs/>
          <w:lang w:val="es-MX"/>
        </w:rPr>
        <w:t>L.</w:t>
      </w:r>
      <w:r>
        <w:rPr>
          <w:i/>
          <w:iCs/>
          <w:lang w:val="es-MX"/>
        </w:rPr>
        <w:t xml:space="preserve"> </w:t>
      </w:r>
      <w:proofErr w:type="spellStart"/>
      <w:r>
        <w:rPr>
          <w:i/>
          <w:iCs/>
          <w:lang w:val="es-MX"/>
        </w:rPr>
        <w:t>plantarum</w:t>
      </w:r>
      <w:proofErr w:type="spellEnd"/>
      <w:r>
        <w:rPr>
          <w:i/>
          <w:iCs/>
          <w:lang w:val="es-MX"/>
        </w:rPr>
        <w:t xml:space="preserve"> </w:t>
      </w:r>
      <w:r>
        <w:rPr>
          <w:lang w:val="es-MX"/>
        </w:rPr>
        <w:t xml:space="preserve">69 (Chen et al. 2018), </w:t>
      </w:r>
      <w:r w:rsidR="00BB08A0" w:rsidRPr="00BB08A0">
        <w:rPr>
          <w:i/>
          <w:iCs/>
          <w:lang w:val="es-MX"/>
        </w:rPr>
        <w:t>L.</w:t>
      </w:r>
      <w:r>
        <w:rPr>
          <w:i/>
          <w:iCs/>
          <w:lang w:val="es-MX"/>
        </w:rPr>
        <w:t xml:space="preserve"> </w:t>
      </w:r>
      <w:proofErr w:type="spellStart"/>
      <w:r>
        <w:rPr>
          <w:i/>
          <w:iCs/>
          <w:lang w:val="es-MX"/>
        </w:rPr>
        <w:t>plantarum</w:t>
      </w:r>
      <w:proofErr w:type="spellEnd"/>
      <w:r>
        <w:rPr>
          <w:i/>
          <w:iCs/>
          <w:lang w:val="es-MX"/>
        </w:rPr>
        <w:t xml:space="preserve"> </w:t>
      </w:r>
      <w:r>
        <w:rPr>
          <w:lang w:val="es-MX"/>
        </w:rPr>
        <w:t xml:space="preserve">KU15003, </w:t>
      </w:r>
      <w:r w:rsidR="00BB08A0" w:rsidRPr="00BB08A0">
        <w:rPr>
          <w:i/>
          <w:iCs/>
          <w:lang w:val="es-MX"/>
        </w:rPr>
        <w:t>L.</w:t>
      </w:r>
      <w:r>
        <w:rPr>
          <w:i/>
          <w:iCs/>
          <w:lang w:val="es-MX"/>
        </w:rPr>
        <w:t xml:space="preserve"> </w:t>
      </w:r>
      <w:proofErr w:type="spellStart"/>
      <w:r>
        <w:rPr>
          <w:i/>
          <w:iCs/>
          <w:lang w:val="es-MX"/>
        </w:rPr>
        <w:t>plantarum</w:t>
      </w:r>
      <w:proofErr w:type="spellEnd"/>
      <w:r>
        <w:rPr>
          <w:i/>
          <w:iCs/>
          <w:lang w:val="es-MX"/>
        </w:rPr>
        <w:t xml:space="preserve"> </w:t>
      </w:r>
      <w:r>
        <w:rPr>
          <w:lang w:val="es-MX"/>
        </w:rPr>
        <w:t xml:space="preserve">KU15031, </w:t>
      </w:r>
      <w:r w:rsidR="00BB08A0" w:rsidRPr="00BB08A0">
        <w:rPr>
          <w:i/>
          <w:iCs/>
          <w:lang w:val="es-MX"/>
        </w:rPr>
        <w:t>L.</w:t>
      </w:r>
      <w:r>
        <w:rPr>
          <w:i/>
          <w:iCs/>
          <w:lang w:val="es-MX"/>
        </w:rPr>
        <w:t xml:space="preserve"> </w:t>
      </w:r>
      <w:proofErr w:type="spellStart"/>
      <w:r>
        <w:rPr>
          <w:i/>
          <w:iCs/>
          <w:lang w:val="es-MX"/>
        </w:rPr>
        <w:t>plantarum</w:t>
      </w:r>
      <w:proofErr w:type="spellEnd"/>
      <w:r>
        <w:rPr>
          <w:i/>
          <w:iCs/>
          <w:lang w:val="es-MX"/>
        </w:rPr>
        <w:t xml:space="preserve"> </w:t>
      </w:r>
      <w:r>
        <w:rPr>
          <w:lang w:val="es-MX"/>
        </w:rPr>
        <w:t xml:space="preserve">NK181 (Eun et </w:t>
      </w:r>
      <w:r>
        <w:rPr>
          <w:lang w:val="es-MX"/>
        </w:rPr>
        <w:lastRenderedPageBreak/>
        <w:t xml:space="preserve">al. 2021) y </w:t>
      </w:r>
      <w:r w:rsidR="00BB08A0" w:rsidRPr="00BB08A0">
        <w:rPr>
          <w:i/>
          <w:iCs/>
          <w:lang w:val="es-MX"/>
        </w:rPr>
        <w:t>L.</w:t>
      </w:r>
      <w:r>
        <w:rPr>
          <w:i/>
          <w:iCs/>
          <w:lang w:val="es-MX"/>
        </w:rPr>
        <w:t xml:space="preserve"> </w:t>
      </w:r>
      <w:proofErr w:type="spellStart"/>
      <w:r>
        <w:rPr>
          <w:i/>
          <w:iCs/>
          <w:lang w:val="es-MX"/>
        </w:rPr>
        <w:t>plantarum</w:t>
      </w:r>
      <w:proofErr w:type="spellEnd"/>
      <w:r>
        <w:rPr>
          <w:i/>
          <w:iCs/>
          <w:lang w:val="es-MX"/>
        </w:rPr>
        <w:t xml:space="preserve"> </w:t>
      </w:r>
      <w:r>
        <w:rPr>
          <w:lang w:val="es-MX"/>
        </w:rPr>
        <w:t xml:space="preserve">QS670 (Xia et al. 2020). Por otra parte, algunos de estos fragmentos peptídicos presentaron </w:t>
      </w:r>
      <w:proofErr w:type="gramStart"/>
      <w:r>
        <w:rPr>
          <w:lang w:val="es-MX"/>
        </w:rPr>
        <w:t>actividades antimicrobiana</w:t>
      </w:r>
      <w:proofErr w:type="gramEnd"/>
      <w:r>
        <w:rPr>
          <w:lang w:val="es-MX"/>
        </w:rPr>
        <w:t xml:space="preserve">, </w:t>
      </w:r>
      <w:proofErr w:type="spellStart"/>
      <w:r>
        <w:rPr>
          <w:lang w:val="es-MX"/>
        </w:rPr>
        <w:t>inmunomoduladora</w:t>
      </w:r>
      <w:proofErr w:type="spellEnd"/>
      <w:r>
        <w:rPr>
          <w:lang w:val="es-MX"/>
        </w:rPr>
        <w:t xml:space="preserve"> y </w:t>
      </w:r>
      <w:proofErr w:type="spellStart"/>
      <w:r>
        <w:rPr>
          <w:lang w:val="es-MX"/>
        </w:rPr>
        <w:t>opiode</w:t>
      </w:r>
      <w:proofErr w:type="spellEnd"/>
      <w:r>
        <w:rPr>
          <w:lang w:val="es-MX"/>
        </w:rPr>
        <w:t>, predichas por los servidores CAMP</w:t>
      </w:r>
      <w:r>
        <w:rPr>
          <w:vertAlign w:val="subscript"/>
          <w:lang w:val="es-MX"/>
        </w:rPr>
        <w:t>R4</w:t>
      </w:r>
      <w:r>
        <w:rPr>
          <w:lang w:val="es-MX"/>
        </w:rPr>
        <w:t xml:space="preserve"> y </w:t>
      </w:r>
      <w:r>
        <w:rPr>
          <w:rFonts w:cs="Calibri"/>
          <w:lang w:val="es-MX"/>
        </w:rPr>
        <w:t xml:space="preserve">BIOPEP-UWM, respectivamente. Este último efecto es muy escaso de detectar, sobre todo, en especies de </w:t>
      </w:r>
      <w:r w:rsidR="00BB08A0" w:rsidRPr="00BB08A0">
        <w:rPr>
          <w:rFonts w:cs="Calibri"/>
          <w:i/>
          <w:iCs/>
          <w:lang w:val="es-MX"/>
        </w:rPr>
        <w:t>L.</w:t>
      </w:r>
      <w:r>
        <w:rPr>
          <w:rFonts w:cs="Calibri"/>
          <w:i/>
          <w:iCs/>
          <w:lang w:val="es-MX"/>
        </w:rPr>
        <w:t xml:space="preserve"> </w:t>
      </w:r>
      <w:proofErr w:type="spellStart"/>
      <w:r w:rsidRPr="00B71A31">
        <w:rPr>
          <w:rFonts w:cs="Calibri"/>
          <w:i/>
          <w:iCs/>
          <w:lang w:val="es-MX"/>
        </w:rPr>
        <w:t>plantarum</w:t>
      </w:r>
      <w:proofErr w:type="spellEnd"/>
      <w:r>
        <w:rPr>
          <w:rFonts w:cs="Calibri"/>
          <w:lang w:val="es-MX"/>
        </w:rPr>
        <w:t xml:space="preserve">, siendo un ejemplo de esto, una cepa de dicha especie capaz de reducir el dolor inflamatorio inducido por formalina en ratas (Estrada et al. 2026). </w:t>
      </w:r>
      <w:r w:rsidRPr="00B71A31">
        <w:rPr>
          <w:rFonts w:cs="Calibri"/>
          <w:lang w:val="es-MX"/>
        </w:rPr>
        <w:t>Por</w:t>
      </w:r>
      <w:r>
        <w:rPr>
          <w:rFonts w:cs="Calibri"/>
          <w:lang w:val="es-MX"/>
        </w:rPr>
        <w:t xml:space="preserve"> último, y en baja proporción, se detectaron unos pocos péptidos moduladores de la saciedad, hipoglucemiantes y citoprotectores. Estos resultados fueron en línea con lo reportado por Eunjung et al. (2018) y Hussain et al. (2020), donde las cepas </w:t>
      </w:r>
      <w:r w:rsidR="00BB08A0" w:rsidRPr="00BB08A0">
        <w:rPr>
          <w:rFonts w:cs="Calibri"/>
          <w:i/>
          <w:iCs/>
          <w:lang w:val="es-MX"/>
        </w:rPr>
        <w:t>L.</w:t>
      </w:r>
      <w:r>
        <w:rPr>
          <w:rFonts w:cs="Calibri"/>
          <w:i/>
          <w:iCs/>
          <w:lang w:val="es-MX"/>
        </w:rPr>
        <w:t xml:space="preserve"> </w:t>
      </w:r>
      <w:proofErr w:type="spellStart"/>
      <w:r>
        <w:rPr>
          <w:rFonts w:cs="Calibri"/>
          <w:i/>
          <w:iCs/>
          <w:lang w:val="es-MX"/>
        </w:rPr>
        <w:t>plantarum</w:t>
      </w:r>
      <w:proofErr w:type="spellEnd"/>
      <w:r>
        <w:rPr>
          <w:rFonts w:cs="Calibri"/>
          <w:i/>
          <w:iCs/>
          <w:lang w:val="es-MX"/>
        </w:rPr>
        <w:t xml:space="preserve"> </w:t>
      </w:r>
      <w:r>
        <w:rPr>
          <w:rFonts w:cs="Calibri"/>
          <w:lang w:val="es-MX"/>
        </w:rPr>
        <w:t>Ln4 y</w:t>
      </w:r>
      <w:r>
        <w:rPr>
          <w:rFonts w:cs="Calibri"/>
          <w:i/>
          <w:iCs/>
          <w:lang w:val="es-MX"/>
        </w:rPr>
        <w:t xml:space="preserve"> </w:t>
      </w:r>
      <w:r>
        <w:rPr>
          <w:rFonts w:cs="Calibri"/>
          <w:lang w:val="es-MX"/>
        </w:rPr>
        <w:t>LB818 fueron capaces de evidenciar efectos de saciedad y antidiabéticos en ratones, respectivamente.</w:t>
      </w:r>
    </w:p>
    <w:p w14:paraId="06DCD019" w14:textId="50D0A6C3" w:rsidR="004057D0" w:rsidRPr="00B14DC8" w:rsidRDefault="004057D0" w:rsidP="004057D0">
      <w:r>
        <w:rPr>
          <w:rFonts w:cs="Calibri"/>
          <w:lang w:val="es-MX"/>
        </w:rPr>
        <w:t xml:space="preserve">Sin embargo, el análisis </w:t>
      </w:r>
      <w:r>
        <w:rPr>
          <w:rFonts w:cs="Calibri"/>
          <w:i/>
          <w:iCs/>
          <w:lang w:val="es-MX"/>
        </w:rPr>
        <w:t xml:space="preserve">in </w:t>
      </w:r>
      <w:proofErr w:type="spellStart"/>
      <w:r>
        <w:rPr>
          <w:rFonts w:cs="Calibri"/>
          <w:i/>
          <w:iCs/>
          <w:lang w:val="es-MX"/>
        </w:rPr>
        <w:t>silico</w:t>
      </w:r>
      <w:proofErr w:type="spellEnd"/>
      <w:r>
        <w:rPr>
          <w:rFonts w:cs="Calibri"/>
          <w:i/>
          <w:iCs/>
          <w:lang w:val="es-MX"/>
        </w:rPr>
        <w:t xml:space="preserve"> </w:t>
      </w:r>
      <w:r>
        <w:rPr>
          <w:rFonts w:cs="Calibri"/>
          <w:lang w:val="es-MX"/>
        </w:rPr>
        <w:t xml:space="preserve">no detectó péptidos con actividad antifúngica, tal como fue reportado para los péptidos producidos por las cepas </w:t>
      </w:r>
      <w:r w:rsidR="00BB08A0" w:rsidRPr="00BB08A0">
        <w:rPr>
          <w:rFonts w:cs="Calibri"/>
          <w:i/>
          <w:iCs/>
          <w:lang w:val="es-MX"/>
        </w:rPr>
        <w:t>L.</w:t>
      </w:r>
      <w:r>
        <w:rPr>
          <w:rFonts w:cs="Calibri"/>
          <w:i/>
          <w:iCs/>
          <w:lang w:val="es-MX"/>
        </w:rPr>
        <w:t xml:space="preserve"> </w:t>
      </w:r>
      <w:proofErr w:type="spellStart"/>
      <w:r>
        <w:rPr>
          <w:rFonts w:cs="Calibri"/>
          <w:i/>
          <w:iCs/>
          <w:lang w:val="es-MX"/>
        </w:rPr>
        <w:t>plantarum</w:t>
      </w:r>
      <w:proofErr w:type="spellEnd"/>
      <w:r>
        <w:rPr>
          <w:rFonts w:cs="Calibri"/>
          <w:i/>
          <w:iCs/>
          <w:lang w:val="es-MX"/>
        </w:rPr>
        <w:t xml:space="preserve"> </w:t>
      </w:r>
      <w:r>
        <w:rPr>
          <w:rFonts w:cs="Calibri"/>
          <w:lang w:val="es-MX"/>
        </w:rPr>
        <w:t xml:space="preserve">CECT 220, CECT 221 y CECT 748, capaces de hidrolizar suero comercial (Luz et al. 2018). El mismo análisis tampoco identificó péptidos con actividad antitumoral, tal como se registró para las cepas </w:t>
      </w:r>
      <w:r w:rsidR="00BB08A0" w:rsidRPr="00BB08A0">
        <w:rPr>
          <w:rFonts w:cs="Calibri"/>
          <w:i/>
          <w:iCs/>
          <w:lang w:val="es-MX"/>
        </w:rPr>
        <w:t>L.</w:t>
      </w:r>
      <w:r>
        <w:rPr>
          <w:rFonts w:cs="Calibri"/>
          <w:i/>
          <w:iCs/>
          <w:lang w:val="es-MX"/>
        </w:rPr>
        <w:t xml:space="preserve"> </w:t>
      </w:r>
      <w:proofErr w:type="spellStart"/>
      <w:r>
        <w:rPr>
          <w:rFonts w:cs="Calibri"/>
          <w:i/>
          <w:iCs/>
          <w:lang w:val="es-MX"/>
        </w:rPr>
        <w:t>plantarum</w:t>
      </w:r>
      <w:proofErr w:type="spellEnd"/>
      <w:r>
        <w:rPr>
          <w:rFonts w:cs="Calibri"/>
          <w:i/>
          <w:iCs/>
          <w:lang w:val="es-MX"/>
        </w:rPr>
        <w:t xml:space="preserve"> </w:t>
      </w:r>
      <w:r>
        <w:rPr>
          <w:rFonts w:cs="Calibri"/>
          <w:lang w:val="es-MX"/>
        </w:rPr>
        <w:t xml:space="preserve">NCCB 100524 y </w:t>
      </w:r>
      <w:r w:rsidR="00BB08A0" w:rsidRPr="00BB08A0">
        <w:rPr>
          <w:rFonts w:cs="Calibri"/>
          <w:i/>
          <w:iCs/>
          <w:lang w:val="es-MX"/>
        </w:rPr>
        <w:t>L.</w:t>
      </w:r>
      <w:r>
        <w:rPr>
          <w:rFonts w:cs="Calibri"/>
          <w:i/>
          <w:iCs/>
          <w:lang w:val="es-MX"/>
        </w:rPr>
        <w:t xml:space="preserve"> </w:t>
      </w:r>
      <w:proofErr w:type="spellStart"/>
      <w:r>
        <w:rPr>
          <w:rFonts w:cs="Calibri"/>
          <w:i/>
          <w:iCs/>
          <w:lang w:val="es-MX"/>
        </w:rPr>
        <w:t>paraplantarum</w:t>
      </w:r>
      <w:proofErr w:type="spellEnd"/>
      <w:r>
        <w:rPr>
          <w:rFonts w:cs="Calibri"/>
          <w:i/>
          <w:iCs/>
          <w:lang w:val="es-MX"/>
        </w:rPr>
        <w:t xml:space="preserve"> </w:t>
      </w:r>
      <w:r>
        <w:rPr>
          <w:rFonts w:cs="Calibri"/>
          <w:lang w:val="es-MX"/>
        </w:rPr>
        <w:t xml:space="preserve">NCCB 100523, luego de fermentar leche de vaca (Öztürk et al. 2026). </w:t>
      </w:r>
    </w:p>
    <w:tbl>
      <w:tblPr>
        <w:tblStyle w:val="Tablaconcuadrcula"/>
        <w:tblW w:w="5000" w:type="pct"/>
        <w:tblLook w:val="04A0" w:firstRow="1" w:lastRow="0" w:firstColumn="1" w:lastColumn="0" w:noHBand="0" w:noVBand="1"/>
      </w:tblPr>
      <w:tblGrid>
        <w:gridCol w:w="1539"/>
        <w:gridCol w:w="4735"/>
        <w:gridCol w:w="3472"/>
      </w:tblGrid>
      <w:tr w:rsidR="008925D9" w:rsidRPr="007E1C5C" w14:paraId="4E66245E" w14:textId="77777777" w:rsidTr="007E1C5C">
        <w:tc>
          <w:tcPr>
            <w:tcW w:w="5000" w:type="pct"/>
            <w:gridSpan w:val="3"/>
            <w:tcBorders>
              <w:top w:val="nil"/>
              <w:left w:val="nil"/>
              <w:right w:val="nil"/>
            </w:tcBorders>
            <w:vAlign w:val="center"/>
          </w:tcPr>
          <w:p w14:paraId="7CA483ED" w14:textId="2881A417" w:rsidR="008925D9" w:rsidRPr="007E1C5C" w:rsidRDefault="008925D9" w:rsidP="008925D9">
            <w:pPr>
              <w:rPr>
                <w:rFonts w:ascii="Times New Roman" w:hAnsi="Times New Roman" w:cs="Times New Roman"/>
              </w:rPr>
            </w:pPr>
            <w:r w:rsidRPr="007E1C5C">
              <w:rPr>
                <w:rFonts w:ascii="Times New Roman" w:hAnsi="Times New Roman" w:cs="Times New Roman"/>
                <w:b/>
                <w:bCs/>
              </w:rPr>
              <w:t>Tabla 2.</w:t>
            </w:r>
            <w:r w:rsidRPr="007E1C5C">
              <w:rPr>
                <w:rFonts w:ascii="Times New Roman" w:hAnsi="Times New Roman" w:cs="Times New Roman"/>
              </w:rPr>
              <w:t xml:space="preserve"> Actividades biológicas de los péptidos identificados</w:t>
            </w:r>
          </w:p>
        </w:tc>
      </w:tr>
      <w:tr w:rsidR="008925D9" w:rsidRPr="007E1C5C" w14:paraId="22B4F032" w14:textId="77777777" w:rsidTr="007E1C5C">
        <w:tc>
          <w:tcPr>
            <w:tcW w:w="790" w:type="pct"/>
            <w:vAlign w:val="center"/>
          </w:tcPr>
          <w:p w14:paraId="359F2F3E"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Péptidos</w:t>
            </w:r>
          </w:p>
        </w:tc>
        <w:tc>
          <w:tcPr>
            <w:tcW w:w="2429" w:type="pct"/>
            <w:vAlign w:val="center"/>
          </w:tcPr>
          <w:p w14:paraId="36E43F61"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Actividad biológica</w:t>
            </w:r>
          </w:p>
        </w:tc>
        <w:tc>
          <w:tcPr>
            <w:tcW w:w="1781" w:type="pct"/>
            <w:vAlign w:val="center"/>
          </w:tcPr>
          <w:p w14:paraId="6D604E9E"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Predictor</w:t>
            </w:r>
          </w:p>
        </w:tc>
      </w:tr>
      <w:tr w:rsidR="008925D9" w:rsidRPr="007E1C5C" w14:paraId="461550DB" w14:textId="77777777" w:rsidTr="007E1C5C">
        <w:tc>
          <w:tcPr>
            <w:tcW w:w="790" w:type="pct"/>
            <w:tcBorders>
              <w:bottom w:val="nil"/>
            </w:tcBorders>
            <w:vAlign w:val="center"/>
          </w:tcPr>
          <w:p w14:paraId="126F7E1E"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b/>
                <w:bCs/>
                <w:lang w:val="es-MX"/>
              </w:rPr>
              <w:t>Caseína α</w:t>
            </w:r>
            <w:r w:rsidRPr="007E1C5C">
              <w:rPr>
                <w:rFonts w:ascii="Times New Roman" w:hAnsi="Times New Roman" w:cs="Times New Roman"/>
                <w:b/>
                <w:bCs/>
                <w:vertAlign w:val="subscript"/>
                <w:lang w:val="es-MX"/>
              </w:rPr>
              <w:t>S1</w:t>
            </w:r>
          </w:p>
        </w:tc>
        <w:tc>
          <w:tcPr>
            <w:tcW w:w="2429" w:type="pct"/>
            <w:tcBorders>
              <w:bottom w:val="nil"/>
            </w:tcBorders>
            <w:vAlign w:val="center"/>
          </w:tcPr>
          <w:p w14:paraId="5A45F11B" w14:textId="77777777" w:rsidR="008925D9" w:rsidRPr="007E1C5C" w:rsidRDefault="008925D9" w:rsidP="00E659C9">
            <w:pPr>
              <w:jc w:val="center"/>
              <w:rPr>
                <w:rFonts w:ascii="Times New Roman" w:hAnsi="Times New Roman" w:cs="Times New Roman"/>
              </w:rPr>
            </w:pPr>
          </w:p>
        </w:tc>
        <w:tc>
          <w:tcPr>
            <w:tcW w:w="1781" w:type="pct"/>
            <w:tcBorders>
              <w:bottom w:val="nil"/>
            </w:tcBorders>
            <w:vAlign w:val="center"/>
          </w:tcPr>
          <w:p w14:paraId="483F7917" w14:textId="77777777" w:rsidR="008925D9" w:rsidRPr="007E1C5C" w:rsidRDefault="008925D9" w:rsidP="00E659C9">
            <w:pPr>
              <w:jc w:val="center"/>
              <w:rPr>
                <w:rFonts w:ascii="Times New Roman" w:hAnsi="Times New Roman" w:cs="Times New Roman"/>
              </w:rPr>
            </w:pPr>
          </w:p>
        </w:tc>
      </w:tr>
      <w:tr w:rsidR="008925D9" w:rsidRPr="007E1C5C" w14:paraId="3D797AA4" w14:textId="77777777" w:rsidTr="007E1C5C">
        <w:tc>
          <w:tcPr>
            <w:tcW w:w="790" w:type="pct"/>
            <w:tcBorders>
              <w:top w:val="nil"/>
              <w:bottom w:val="nil"/>
            </w:tcBorders>
            <w:vAlign w:val="center"/>
          </w:tcPr>
          <w:p w14:paraId="3ACBB1CF"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FF</w:t>
            </w:r>
          </w:p>
        </w:tc>
        <w:tc>
          <w:tcPr>
            <w:tcW w:w="2429" w:type="pct"/>
            <w:tcBorders>
              <w:top w:val="nil"/>
              <w:bottom w:val="nil"/>
            </w:tcBorders>
            <w:vAlign w:val="center"/>
          </w:tcPr>
          <w:p w14:paraId="33711A48"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Antioxidante y antimicrobiano</w:t>
            </w:r>
          </w:p>
        </w:tc>
        <w:tc>
          <w:tcPr>
            <w:tcW w:w="1781" w:type="pct"/>
            <w:tcBorders>
              <w:top w:val="nil"/>
              <w:bottom w:val="nil"/>
            </w:tcBorders>
            <w:vAlign w:val="center"/>
          </w:tcPr>
          <w:p w14:paraId="150A0BF5"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AnOxPePred</w:t>
            </w:r>
            <w:proofErr w:type="spellEnd"/>
            <w:r w:rsidRPr="007E1C5C">
              <w:rPr>
                <w:rFonts w:ascii="Times New Roman" w:hAnsi="Times New Roman" w:cs="Times New Roman"/>
                <w:lang w:val="es-MX"/>
              </w:rPr>
              <w:t xml:space="preserve"> 1.0 y </w:t>
            </w:r>
            <w:proofErr w:type="spellStart"/>
            <w:r w:rsidRPr="007E1C5C">
              <w:rPr>
                <w:rFonts w:ascii="Times New Roman" w:hAnsi="Times New Roman" w:cs="Times New Roman"/>
                <w:lang w:val="es-MX"/>
              </w:rPr>
              <w:t>AntiCP</w:t>
            </w:r>
            <w:proofErr w:type="spellEnd"/>
            <w:r w:rsidRPr="007E1C5C">
              <w:rPr>
                <w:rFonts w:ascii="Times New Roman" w:hAnsi="Times New Roman" w:cs="Times New Roman"/>
                <w:lang w:val="es-MX"/>
              </w:rPr>
              <w:t xml:space="preserve"> 2.0</w:t>
            </w:r>
          </w:p>
        </w:tc>
      </w:tr>
      <w:tr w:rsidR="008925D9" w:rsidRPr="007E1C5C" w14:paraId="0CAA506F" w14:textId="77777777" w:rsidTr="007E1C5C">
        <w:tc>
          <w:tcPr>
            <w:tcW w:w="790" w:type="pct"/>
            <w:tcBorders>
              <w:top w:val="nil"/>
              <w:bottom w:val="nil"/>
            </w:tcBorders>
            <w:vAlign w:val="center"/>
          </w:tcPr>
          <w:p w14:paraId="7862A7BD"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VIPY</w:t>
            </w:r>
          </w:p>
        </w:tc>
        <w:tc>
          <w:tcPr>
            <w:tcW w:w="2429" w:type="pct"/>
            <w:tcBorders>
              <w:top w:val="nil"/>
              <w:bottom w:val="nil"/>
            </w:tcBorders>
            <w:vAlign w:val="center"/>
          </w:tcPr>
          <w:p w14:paraId="7BC9E668"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Antihipertensivo y antidiabético</w:t>
            </w:r>
          </w:p>
        </w:tc>
        <w:tc>
          <w:tcPr>
            <w:tcW w:w="1781" w:type="pct"/>
            <w:tcBorders>
              <w:top w:val="nil"/>
              <w:bottom w:val="nil"/>
            </w:tcBorders>
            <w:vAlign w:val="center"/>
          </w:tcPr>
          <w:p w14:paraId="0B992197"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s-MX"/>
              </w:rPr>
              <w:t>BIOPEP-UWM</w:t>
            </w:r>
          </w:p>
        </w:tc>
      </w:tr>
      <w:tr w:rsidR="008925D9" w:rsidRPr="007E1C5C" w14:paraId="7BB2AF88" w14:textId="77777777" w:rsidTr="007E1C5C">
        <w:tc>
          <w:tcPr>
            <w:tcW w:w="790" w:type="pct"/>
            <w:tcBorders>
              <w:top w:val="nil"/>
              <w:bottom w:val="nil"/>
            </w:tcBorders>
            <w:vAlign w:val="center"/>
          </w:tcPr>
          <w:p w14:paraId="7CDC7D19"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HKEMP</w:t>
            </w:r>
          </w:p>
        </w:tc>
        <w:tc>
          <w:tcPr>
            <w:tcW w:w="2429" w:type="pct"/>
            <w:tcBorders>
              <w:top w:val="nil"/>
              <w:bottom w:val="nil"/>
            </w:tcBorders>
            <w:vAlign w:val="center"/>
          </w:tcPr>
          <w:p w14:paraId="31B832ED"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Antioxidante</w:t>
            </w:r>
          </w:p>
        </w:tc>
        <w:tc>
          <w:tcPr>
            <w:tcW w:w="1781" w:type="pct"/>
            <w:tcBorders>
              <w:top w:val="nil"/>
              <w:bottom w:val="nil"/>
            </w:tcBorders>
            <w:vAlign w:val="center"/>
          </w:tcPr>
          <w:p w14:paraId="028677E8"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AnOxPePred</w:t>
            </w:r>
            <w:proofErr w:type="spellEnd"/>
            <w:r w:rsidRPr="007E1C5C">
              <w:rPr>
                <w:rFonts w:ascii="Times New Roman" w:hAnsi="Times New Roman" w:cs="Times New Roman"/>
                <w:lang w:val="es-MX"/>
              </w:rPr>
              <w:t xml:space="preserve"> 1.0</w:t>
            </w:r>
          </w:p>
        </w:tc>
      </w:tr>
      <w:tr w:rsidR="008925D9" w:rsidRPr="007E1C5C" w14:paraId="0DD11CA7" w14:textId="77777777" w:rsidTr="007E1C5C">
        <w:tc>
          <w:tcPr>
            <w:tcW w:w="790" w:type="pct"/>
            <w:tcBorders>
              <w:top w:val="nil"/>
              <w:bottom w:val="nil"/>
            </w:tcBorders>
            <w:vAlign w:val="center"/>
          </w:tcPr>
          <w:p w14:paraId="1104F3B7"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MPFP</w:t>
            </w:r>
          </w:p>
        </w:tc>
        <w:tc>
          <w:tcPr>
            <w:tcW w:w="2429" w:type="pct"/>
            <w:tcBorders>
              <w:top w:val="nil"/>
              <w:bottom w:val="nil"/>
            </w:tcBorders>
            <w:vAlign w:val="center"/>
          </w:tcPr>
          <w:p w14:paraId="06066EE7"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Antioxidante</w:t>
            </w:r>
          </w:p>
        </w:tc>
        <w:tc>
          <w:tcPr>
            <w:tcW w:w="1781" w:type="pct"/>
            <w:tcBorders>
              <w:top w:val="nil"/>
              <w:bottom w:val="nil"/>
            </w:tcBorders>
            <w:vAlign w:val="center"/>
          </w:tcPr>
          <w:p w14:paraId="3FD948F8"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AnOxPePred</w:t>
            </w:r>
            <w:proofErr w:type="spellEnd"/>
            <w:r w:rsidRPr="007E1C5C">
              <w:rPr>
                <w:rFonts w:ascii="Times New Roman" w:hAnsi="Times New Roman" w:cs="Times New Roman"/>
                <w:lang w:val="es-MX"/>
              </w:rPr>
              <w:t xml:space="preserve"> 1.0</w:t>
            </w:r>
          </w:p>
        </w:tc>
      </w:tr>
      <w:tr w:rsidR="008925D9" w:rsidRPr="007E1C5C" w14:paraId="25FAB68C" w14:textId="77777777" w:rsidTr="007E1C5C">
        <w:tc>
          <w:tcPr>
            <w:tcW w:w="790" w:type="pct"/>
            <w:tcBorders>
              <w:top w:val="nil"/>
            </w:tcBorders>
            <w:vAlign w:val="center"/>
          </w:tcPr>
          <w:p w14:paraId="2A44DBE1"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EMPFPK</w:t>
            </w:r>
          </w:p>
        </w:tc>
        <w:tc>
          <w:tcPr>
            <w:tcW w:w="2429" w:type="pct"/>
            <w:tcBorders>
              <w:top w:val="nil"/>
            </w:tcBorders>
            <w:vAlign w:val="center"/>
          </w:tcPr>
          <w:p w14:paraId="2EB41CD5"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Antioxidante</w:t>
            </w:r>
          </w:p>
        </w:tc>
        <w:tc>
          <w:tcPr>
            <w:tcW w:w="1781" w:type="pct"/>
            <w:tcBorders>
              <w:top w:val="nil"/>
            </w:tcBorders>
            <w:vAlign w:val="center"/>
          </w:tcPr>
          <w:p w14:paraId="4EC2E5E7"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AnOxPePred</w:t>
            </w:r>
            <w:proofErr w:type="spellEnd"/>
            <w:r w:rsidRPr="007E1C5C">
              <w:rPr>
                <w:rFonts w:ascii="Times New Roman" w:hAnsi="Times New Roman" w:cs="Times New Roman"/>
                <w:lang w:val="es-MX"/>
              </w:rPr>
              <w:t xml:space="preserve"> 1.0</w:t>
            </w:r>
          </w:p>
        </w:tc>
      </w:tr>
      <w:tr w:rsidR="008925D9" w:rsidRPr="007E1C5C" w14:paraId="68B8EEF9" w14:textId="77777777" w:rsidTr="007E1C5C">
        <w:tc>
          <w:tcPr>
            <w:tcW w:w="790" w:type="pct"/>
            <w:tcBorders>
              <w:bottom w:val="nil"/>
            </w:tcBorders>
            <w:vAlign w:val="center"/>
          </w:tcPr>
          <w:p w14:paraId="1E39D45B"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b/>
                <w:bCs/>
                <w:lang w:val="es-MX"/>
              </w:rPr>
              <w:t>Caseína α</w:t>
            </w:r>
            <w:r w:rsidRPr="007E1C5C">
              <w:rPr>
                <w:rFonts w:ascii="Times New Roman" w:hAnsi="Times New Roman" w:cs="Times New Roman"/>
                <w:b/>
                <w:bCs/>
                <w:vertAlign w:val="subscript"/>
                <w:lang w:val="es-MX"/>
              </w:rPr>
              <w:t>S2</w:t>
            </w:r>
          </w:p>
        </w:tc>
        <w:tc>
          <w:tcPr>
            <w:tcW w:w="2429" w:type="pct"/>
            <w:tcBorders>
              <w:bottom w:val="nil"/>
            </w:tcBorders>
            <w:vAlign w:val="center"/>
          </w:tcPr>
          <w:p w14:paraId="2B946314" w14:textId="77777777" w:rsidR="008925D9" w:rsidRPr="007E1C5C" w:rsidRDefault="008925D9" w:rsidP="00E659C9">
            <w:pPr>
              <w:jc w:val="center"/>
              <w:rPr>
                <w:rFonts w:ascii="Times New Roman" w:hAnsi="Times New Roman" w:cs="Times New Roman"/>
              </w:rPr>
            </w:pPr>
          </w:p>
        </w:tc>
        <w:tc>
          <w:tcPr>
            <w:tcW w:w="1781" w:type="pct"/>
            <w:tcBorders>
              <w:bottom w:val="nil"/>
            </w:tcBorders>
            <w:vAlign w:val="center"/>
          </w:tcPr>
          <w:p w14:paraId="76A9BCB2" w14:textId="77777777" w:rsidR="008925D9" w:rsidRPr="007E1C5C" w:rsidRDefault="008925D9" w:rsidP="00E659C9">
            <w:pPr>
              <w:jc w:val="center"/>
              <w:rPr>
                <w:rFonts w:ascii="Times New Roman" w:hAnsi="Times New Roman" w:cs="Times New Roman"/>
              </w:rPr>
            </w:pPr>
          </w:p>
        </w:tc>
      </w:tr>
      <w:tr w:rsidR="008925D9" w:rsidRPr="007E1C5C" w14:paraId="7E96116F" w14:textId="77777777" w:rsidTr="007E1C5C">
        <w:tc>
          <w:tcPr>
            <w:tcW w:w="790" w:type="pct"/>
            <w:tcBorders>
              <w:top w:val="nil"/>
            </w:tcBorders>
            <w:vAlign w:val="center"/>
          </w:tcPr>
          <w:p w14:paraId="19B4BF78"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AMPK</w:t>
            </w:r>
          </w:p>
        </w:tc>
        <w:tc>
          <w:tcPr>
            <w:tcW w:w="2429" w:type="pct"/>
            <w:tcBorders>
              <w:top w:val="nil"/>
            </w:tcBorders>
            <w:vAlign w:val="center"/>
          </w:tcPr>
          <w:p w14:paraId="46221F7B"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Antimicrobiano</w:t>
            </w:r>
          </w:p>
        </w:tc>
        <w:tc>
          <w:tcPr>
            <w:tcW w:w="1781" w:type="pct"/>
            <w:tcBorders>
              <w:top w:val="nil"/>
            </w:tcBorders>
            <w:vAlign w:val="center"/>
          </w:tcPr>
          <w:p w14:paraId="261E9710"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s-MX"/>
              </w:rPr>
              <w:t>CAMP</w:t>
            </w:r>
            <w:r w:rsidRPr="007E1C5C">
              <w:rPr>
                <w:rFonts w:ascii="Times New Roman" w:hAnsi="Times New Roman" w:cs="Times New Roman"/>
                <w:vertAlign w:val="subscript"/>
                <w:lang w:val="es-MX"/>
              </w:rPr>
              <w:t>R4</w:t>
            </w:r>
          </w:p>
        </w:tc>
      </w:tr>
      <w:tr w:rsidR="008925D9" w:rsidRPr="007E1C5C" w14:paraId="6CF8318A" w14:textId="77777777" w:rsidTr="007E1C5C">
        <w:tc>
          <w:tcPr>
            <w:tcW w:w="790" w:type="pct"/>
            <w:tcBorders>
              <w:bottom w:val="nil"/>
            </w:tcBorders>
            <w:vAlign w:val="center"/>
          </w:tcPr>
          <w:p w14:paraId="5E27BA3F"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b/>
                <w:bCs/>
                <w:lang w:val="en-US"/>
              </w:rPr>
              <w:t>Caseína</w:t>
            </w:r>
            <w:proofErr w:type="spellEnd"/>
            <w:r w:rsidRPr="007E1C5C">
              <w:rPr>
                <w:rFonts w:ascii="Times New Roman" w:hAnsi="Times New Roman" w:cs="Times New Roman"/>
                <w:b/>
                <w:bCs/>
                <w:lang w:val="en-US"/>
              </w:rPr>
              <w:t xml:space="preserve"> β</w:t>
            </w:r>
          </w:p>
        </w:tc>
        <w:tc>
          <w:tcPr>
            <w:tcW w:w="2429" w:type="pct"/>
            <w:tcBorders>
              <w:bottom w:val="nil"/>
            </w:tcBorders>
            <w:vAlign w:val="center"/>
          </w:tcPr>
          <w:p w14:paraId="3520E485" w14:textId="77777777" w:rsidR="008925D9" w:rsidRPr="007E1C5C" w:rsidRDefault="008925D9" w:rsidP="00E659C9">
            <w:pPr>
              <w:jc w:val="center"/>
              <w:rPr>
                <w:rFonts w:ascii="Times New Roman" w:hAnsi="Times New Roman" w:cs="Times New Roman"/>
              </w:rPr>
            </w:pPr>
          </w:p>
        </w:tc>
        <w:tc>
          <w:tcPr>
            <w:tcW w:w="1781" w:type="pct"/>
            <w:tcBorders>
              <w:bottom w:val="nil"/>
            </w:tcBorders>
            <w:vAlign w:val="center"/>
          </w:tcPr>
          <w:p w14:paraId="49EB8FCB" w14:textId="77777777" w:rsidR="008925D9" w:rsidRPr="007E1C5C" w:rsidRDefault="008925D9" w:rsidP="00E659C9">
            <w:pPr>
              <w:jc w:val="center"/>
              <w:rPr>
                <w:rFonts w:ascii="Times New Roman" w:hAnsi="Times New Roman" w:cs="Times New Roman"/>
              </w:rPr>
            </w:pPr>
          </w:p>
        </w:tc>
      </w:tr>
      <w:tr w:rsidR="008925D9" w:rsidRPr="007E1C5C" w14:paraId="746FC678" w14:textId="77777777" w:rsidTr="007E1C5C">
        <w:tc>
          <w:tcPr>
            <w:tcW w:w="790" w:type="pct"/>
            <w:tcBorders>
              <w:top w:val="nil"/>
              <w:bottom w:val="nil"/>
            </w:tcBorders>
            <w:vAlign w:val="center"/>
          </w:tcPr>
          <w:p w14:paraId="08917053"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YPF</w:t>
            </w:r>
          </w:p>
        </w:tc>
        <w:tc>
          <w:tcPr>
            <w:tcW w:w="2429" w:type="pct"/>
            <w:tcBorders>
              <w:top w:val="nil"/>
              <w:bottom w:val="nil"/>
            </w:tcBorders>
            <w:vAlign w:val="center"/>
          </w:tcPr>
          <w:p w14:paraId="4E8ED6ED"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Antioxidante</w:t>
            </w:r>
          </w:p>
        </w:tc>
        <w:tc>
          <w:tcPr>
            <w:tcW w:w="1781" w:type="pct"/>
            <w:tcBorders>
              <w:top w:val="nil"/>
              <w:bottom w:val="nil"/>
            </w:tcBorders>
            <w:vAlign w:val="center"/>
          </w:tcPr>
          <w:p w14:paraId="58D81378"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AnOxPePred</w:t>
            </w:r>
            <w:proofErr w:type="spellEnd"/>
            <w:r w:rsidRPr="007E1C5C">
              <w:rPr>
                <w:rFonts w:ascii="Times New Roman" w:hAnsi="Times New Roman" w:cs="Times New Roman"/>
                <w:lang w:val="es-MX"/>
              </w:rPr>
              <w:t xml:space="preserve"> 1.0</w:t>
            </w:r>
          </w:p>
        </w:tc>
      </w:tr>
      <w:tr w:rsidR="008925D9" w:rsidRPr="007E1C5C" w14:paraId="49F169A2" w14:textId="77777777" w:rsidTr="007E1C5C">
        <w:tc>
          <w:tcPr>
            <w:tcW w:w="790" w:type="pct"/>
            <w:tcBorders>
              <w:top w:val="nil"/>
              <w:bottom w:val="nil"/>
            </w:tcBorders>
            <w:vAlign w:val="center"/>
          </w:tcPr>
          <w:p w14:paraId="7F1DEEAA"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YPFV</w:t>
            </w:r>
          </w:p>
        </w:tc>
        <w:tc>
          <w:tcPr>
            <w:tcW w:w="2429" w:type="pct"/>
            <w:tcBorders>
              <w:top w:val="nil"/>
              <w:bottom w:val="nil"/>
            </w:tcBorders>
            <w:vAlign w:val="center"/>
          </w:tcPr>
          <w:p w14:paraId="3A59E060"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Opioide y antihipertensivo</w:t>
            </w:r>
          </w:p>
        </w:tc>
        <w:tc>
          <w:tcPr>
            <w:tcW w:w="1781" w:type="pct"/>
            <w:tcBorders>
              <w:top w:val="nil"/>
              <w:bottom w:val="nil"/>
            </w:tcBorders>
            <w:vAlign w:val="center"/>
          </w:tcPr>
          <w:p w14:paraId="25019D04"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s-MX"/>
              </w:rPr>
              <w:t>BIOPEP-UWM</w:t>
            </w:r>
          </w:p>
        </w:tc>
      </w:tr>
      <w:tr w:rsidR="008925D9" w:rsidRPr="007E1C5C" w14:paraId="6BEB7A0C" w14:textId="77777777" w:rsidTr="007E1C5C">
        <w:tc>
          <w:tcPr>
            <w:tcW w:w="790" w:type="pct"/>
            <w:tcBorders>
              <w:top w:val="nil"/>
              <w:bottom w:val="nil"/>
            </w:tcBorders>
            <w:vAlign w:val="center"/>
          </w:tcPr>
          <w:p w14:paraId="4D6E5B1F"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YPFVE</w:t>
            </w:r>
          </w:p>
        </w:tc>
        <w:tc>
          <w:tcPr>
            <w:tcW w:w="2429" w:type="pct"/>
            <w:tcBorders>
              <w:top w:val="nil"/>
              <w:bottom w:val="nil"/>
            </w:tcBorders>
            <w:vAlign w:val="center"/>
          </w:tcPr>
          <w:p w14:paraId="1DAA83FD"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Inmunomodulador</w:t>
            </w:r>
          </w:p>
        </w:tc>
        <w:tc>
          <w:tcPr>
            <w:tcW w:w="1781" w:type="pct"/>
            <w:tcBorders>
              <w:top w:val="nil"/>
              <w:bottom w:val="nil"/>
            </w:tcBorders>
            <w:vAlign w:val="center"/>
          </w:tcPr>
          <w:p w14:paraId="31963E94"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PreAIP</w:t>
            </w:r>
            <w:proofErr w:type="spellEnd"/>
          </w:p>
        </w:tc>
      </w:tr>
      <w:tr w:rsidR="008925D9" w:rsidRPr="007E1C5C" w14:paraId="36C71DD3" w14:textId="77777777" w:rsidTr="007E1C5C">
        <w:tc>
          <w:tcPr>
            <w:tcW w:w="790" w:type="pct"/>
            <w:tcBorders>
              <w:top w:val="nil"/>
              <w:bottom w:val="nil"/>
            </w:tcBorders>
            <w:vAlign w:val="center"/>
          </w:tcPr>
          <w:p w14:paraId="43B606BC"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PPFL</w:t>
            </w:r>
          </w:p>
        </w:tc>
        <w:tc>
          <w:tcPr>
            <w:tcW w:w="2429" w:type="pct"/>
            <w:tcBorders>
              <w:top w:val="nil"/>
              <w:bottom w:val="nil"/>
            </w:tcBorders>
            <w:vAlign w:val="center"/>
          </w:tcPr>
          <w:p w14:paraId="392D3530"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Inmunomodulador y antihipertensivo</w:t>
            </w:r>
          </w:p>
        </w:tc>
        <w:tc>
          <w:tcPr>
            <w:tcW w:w="1781" w:type="pct"/>
            <w:tcBorders>
              <w:top w:val="nil"/>
              <w:bottom w:val="nil"/>
            </w:tcBorders>
            <w:vAlign w:val="center"/>
          </w:tcPr>
          <w:p w14:paraId="165E3294"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PreAIP</w:t>
            </w:r>
            <w:proofErr w:type="spellEnd"/>
          </w:p>
        </w:tc>
      </w:tr>
      <w:tr w:rsidR="008925D9" w:rsidRPr="007E1C5C" w14:paraId="30EB11D4" w14:textId="77777777" w:rsidTr="007E1C5C">
        <w:tc>
          <w:tcPr>
            <w:tcW w:w="790" w:type="pct"/>
            <w:tcBorders>
              <w:top w:val="nil"/>
              <w:bottom w:val="nil"/>
            </w:tcBorders>
            <w:vAlign w:val="center"/>
          </w:tcPr>
          <w:p w14:paraId="0FCFFB20"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VPP</w:t>
            </w:r>
          </w:p>
        </w:tc>
        <w:tc>
          <w:tcPr>
            <w:tcW w:w="2429" w:type="pct"/>
            <w:tcBorders>
              <w:top w:val="nil"/>
              <w:bottom w:val="nil"/>
            </w:tcBorders>
            <w:vAlign w:val="center"/>
          </w:tcPr>
          <w:p w14:paraId="38E1BB70"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Antihipertensivo</w:t>
            </w:r>
          </w:p>
        </w:tc>
        <w:tc>
          <w:tcPr>
            <w:tcW w:w="1781" w:type="pct"/>
            <w:tcBorders>
              <w:top w:val="nil"/>
              <w:bottom w:val="nil"/>
            </w:tcBorders>
            <w:vAlign w:val="center"/>
          </w:tcPr>
          <w:p w14:paraId="46E09619"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PreAIP</w:t>
            </w:r>
            <w:proofErr w:type="spellEnd"/>
          </w:p>
        </w:tc>
      </w:tr>
      <w:tr w:rsidR="008925D9" w:rsidRPr="007E1C5C" w14:paraId="5741C447" w14:textId="77777777" w:rsidTr="007E1C5C">
        <w:tc>
          <w:tcPr>
            <w:tcW w:w="790" w:type="pct"/>
            <w:tcBorders>
              <w:top w:val="nil"/>
              <w:bottom w:val="nil"/>
            </w:tcBorders>
            <w:vAlign w:val="center"/>
          </w:tcPr>
          <w:p w14:paraId="4517B633"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VAPF</w:t>
            </w:r>
          </w:p>
        </w:tc>
        <w:tc>
          <w:tcPr>
            <w:tcW w:w="2429" w:type="pct"/>
            <w:tcBorders>
              <w:top w:val="nil"/>
              <w:bottom w:val="nil"/>
            </w:tcBorders>
            <w:vAlign w:val="center"/>
          </w:tcPr>
          <w:p w14:paraId="39B5A79B"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Antihipertensivo</w:t>
            </w:r>
          </w:p>
        </w:tc>
        <w:tc>
          <w:tcPr>
            <w:tcW w:w="1781" w:type="pct"/>
            <w:tcBorders>
              <w:top w:val="nil"/>
              <w:bottom w:val="nil"/>
            </w:tcBorders>
            <w:vAlign w:val="center"/>
          </w:tcPr>
          <w:p w14:paraId="08EBC06D"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PreAIP</w:t>
            </w:r>
            <w:proofErr w:type="spellEnd"/>
          </w:p>
        </w:tc>
      </w:tr>
      <w:tr w:rsidR="008925D9" w:rsidRPr="007E1C5C" w14:paraId="209A4499" w14:textId="77777777" w:rsidTr="007E1C5C">
        <w:tc>
          <w:tcPr>
            <w:tcW w:w="790" w:type="pct"/>
            <w:tcBorders>
              <w:top w:val="nil"/>
              <w:bottom w:val="nil"/>
            </w:tcBorders>
            <w:vAlign w:val="center"/>
          </w:tcPr>
          <w:p w14:paraId="1113B7DB"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VAPFPEV</w:t>
            </w:r>
          </w:p>
        </w:tc>
        <w:tc>
          <w:tcPr>
            <w:tcW w:w="2429" w:type="pct"/>
            <w:tcBorders>
              <w:top w:val="nil"/>
              <w:bottom w:val="nil"/>
            </w:tcBorders>
            <w:vAlign w:val="center"/>
          </w:tcPr>
          <w:p w14:paraId="3C80FACA"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Antihipertensivo e inmunomodulador</w:t>
            </w:r>
          </w:p>
        </w:tc>
        <w:tc>
          <w:tcPr>
            <w:tcW w:w="1781" w:type="pct"/>
            <w:tcBorders>
              <w:top w:val="nil"/>
              <w:bottom w:val="nil"/>
            </w:tcBorders>
            <w:vAlign w:val="center"/>
          </w:tcPr>
          <w:p w14:paraId="3B21F3FF"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PreAIP</w:t>
            </w:r>
            <w:proofErr w:type="spellEnd"/>
          </w:p>
        </w:tc>
      </w:tr>
      <w:tr w:rsidR="008925D9" w:rsidRPr="007E1C5C" w14:paraId="6D73CE4F" w14:textId="77777777" w:rsidTr="007E1C5C">
        <w:tc>
          <w:tcPr>
            <w:tcW w:w="790" w:type="pct"/>
            <w:tcBorders>
              <w:top w:val="nil"/>
              <w:bottom w:val="nil"/>
            </w:tcBorders>
            <w:vAlign w:val="center"/>
          </w:tcPr>
          <w:p w14:paraId="59465595"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EMPFP</w:t>
            </w:r>
          </w:p>
        </w:tc>
        <w:tc>
          <w:tcPr>
            <w:tcW w:w="2429" w:type="pct"/>
            <w:tcBorders>
              <w:top w:val="nil"/>
              <w:bottom w:val="nil"/>
            </w:tcBorders>
            <w:vAlign w:val="center"/>
          </w:tcPr>
          <w:p w14:paraId="7A4E1136"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Antioxidante</w:t>
            </w:r>
          </w:p>
        </w:tc>
        <w:tc>
          <w:tcPr>
            <w:tcW w:w="1781" w:type="pct"/>
            <w:tcBorders>
              <w:top w:val="nil"/>
              <w:bottom w:val="nil"/>
            </w:tcBorders>
            <w:vAlign w:val="center"/>
          </w:tcPr>
          <w:p w14:paraId="1FF74DE3"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AnOxPePred</w:t>
            </w:r>
            <w:proofErr w:type="spellEnd"/>
            <w:r w:rsidRPr="007E1C5C">
              <w:rPr>
                <w:rFonts w:ascii="Times New Roman" w:hAnsi="Times New Roman" w:cs="Times New Roman"/>
                <w:lang w:val="es-MX"/>
              </w:rPr>
              <w:t xml:space="preserve"> 1.0</w:t>
            </w:r>
          </w:p>
        </w:tc>
      </w:tr>
      <w:tr w:rsidR="008925D9" w:rsidRPr="007E1C5C" w14:paraId="396F56E1" w14:textId="77777777" w:rsidTr="007E1C5C">
        <w:tc>
          <w:tcPr>
            <w:tcW w:w="790" w:type="pct"/>
            <w:tcBorders>
              <w:top w:val="nil"/>
              <w:bottom w:val="nil"/>
            </w:tcBorders>
            <w:vAlign w:val="center"/>
          </w:tcPr>
          <w:p w14:paraId="0EBEAC88"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FALPQ</w:t>
            </w:r>
          </w:p>
        </w:tc>
        <w:tc>
          <w:tcPr>
            <w:tcW w:w="2429" w:type="pct"/>
            <w:tcBorders>
              <w:top w:val="nil"/>
              <w:bottom w:val="nil"/>
            </w:tcBorders>
            <w:vAlign w:val="center"/>
          </w:tcPr>
          <w:p w14:paraId="43ED8C63"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Antihipertensivo y modulador de saciedad</w:t>
            </w:r>
          </w:p>
        </w:tc>
        <w:tc>
          <w:tcPr>
            <w:tcW w:w="1781" w:type="pct"/>
            <w:tcBorders>
              <w:top w:val="nil"/>
              <w:bottom w:val="nil"/>
            </w:tcBorders>
            <w:vAlign w:val="center"/>
          </w:tcPr>
          <w:p w14:paraId="0B2F8789"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PreAIP</w:t>
            </w:r>
            <w:proofErr w:type="spellEnd"/>
            <w:r w:rsidRPr="007E1C5C">
              <w:rPr>
                <w:rFonts w:ascii="Times New Roman" w:hAnsi="Times New Roman" w:cs="Times New Roman"/>
                <w:lang w:val="es-MX"/>
              </w:rPr>
              <w:t xml:space="preserve"> y BIOPEP-UWM</w:t>
            </w:r>
          </w:p>
        </w:tc>
      </w:tr>
      <w:tr w:rsidR="008925D9" w:rsidRPr="007E1C5C" w14:paraId="584DA4EB" w14:textId="77777777" w:rsidTr="007E1C5C">
        <w:tc>
          <w:tcPr>
            <w:tcW w:w="790" w:type="pct"/>
            <w:tcBorders>
              <w:top w:val="nil"/>
              <w:bottom w:val="nil"/>
            </w:tcBorders>
            <w:vAlign w:val="center"/>
          </w:tcPr>
          <w:p w14:paraId="7F64D3D8"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KLPVPQ</w:t>
            </w:r>
          </w:p>
        </w:tc>
        <w:tc>
          <w:tcPr>
            <w:tcW w:w="2429" w:type="pct"/>
            <w:tcBorders>
              <w:top w:val="nil"/>
              <w:bottom w:val="nil"/>
            </w:tcBorders>
            <w:vAlign w:val="center"/>
          </w:tcPr>
          <w:p w14:paraId="5A200B11"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Antihipertensivo</w:t>
            </w:r>
          </w:p>
        </w:tc>
        <w:tc>
          <w:tcPr>
            <w:tcW w:w="1781" w:type="pct"/>
            <w:tcBorders>
              <w:top w:val="nil"/>
              <w:bottom w:val="nil"/>
            </w:tcBorders>
            <w:vAlign w:val="center"/>
          </w:tcPr>
          <w:p w14:paraId="1A555FEC"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PreAIP</w:t>
            </w:r>
            <w:proofErr w:type="spellEnd"/>
          </w:p>
        </w:tc>
      </w:tr>
      <w:tr w:rsidR="008925D9" w:rsidRPr="007E1C5C" w14:paraId="6627A411" w14:textId="77777777" w:rsidTr="007E1C5C">
        <w:tc>
          <w:tcPr>
            <w:tcW w:w="790" w:type="pct"/>
            <w:tcBorders>
              <w:top w:val="nil"/>
              <w:bottom w:val="nil"/>
            </w:tcBorders>
            <w:vAlign w:val="center"/>
          </w:tcPr>
          <w:p w14:paraId="35BCB073"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VPYP</w:t>
            </w:r>
          </w:p>
        </w:tc>
        <w:tc>
          <w:tcPr>
            <w:tcW w:w="2429" w:type="pct"/>
            <w:tcBorders>
              <w:top w:val="nil"/>
              <w:bottom w:val="nil"/>
            </w:tcBorders>
            <w:vAlign w:val="center"/>
          </w:tcPr>
          <w:p w14:paraId="22CA06E4"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Antihipertensivo</w:t>
            </w:r>
          </w:p>
        </w:tc>
        <w:tc>
          <w:tcPr>
            <w:tcW w:w="1781" w:type="pct"/>
            <w:tcBorders>
              <w:top w:val="nil"/>
              <w:bottom w:val="nil"/>
            </w:tcBorders>
            <w:vAlign w:val="center"/>
          </w:tcPr>
          <w:p w14:paraId="3B772DDF" w14:textId="77777777" w:rsidR="008925D9" w:rsidRPr="007E1C5C" w:rsidRDefault="008925D9" w:rsidP="00E659C9">
            <w:pPr>
              <w:jc w:val="center"/>
              <w:rPr>
                <w:rFonts w:ascii="Times New Roman" w:hAnsi="Times New Roman" w:cs="Times New Roman"/>
              </w:rPr>
            </w:pPr>
            <w:proofErr w:type="spellStart"/>
            <w:r w:rsidRPr="007E1C5C">
              <w:rPr>
                <w:rFonts w:ascii="Times New Roman" w:hAnsi="Times New Roman" w:cs="Times New Roman"/>
                <w:lang w:val="es-MX"/>
              </w:rPr>
              <w:t>PreAIP</w:t>
            </w:r>
            <w:proofErr w:type="spellEnd"/>
          </w:p>
        </w:tc>
      </w:tr>
      <w:tr w:rsidR="008925D9" w:rsidRPr="007E1C5C" w14:paraId="3594B74D" w14:textId="77777777" w:rsidTr="007E1C5C">
        <w:tc>
          <w:tcPr>
            <w:tcW w:w="790" w:type="pct"/>
            <w:tcBorders>
              <w:top w:val="nil"/>
            </w:tcBorders>
            <w:vAlign w:val="center"/>
          </w:tcPr>
          <w:p w14:paraId="19CE1B23"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n-US"/>
              </w:rPr>
              <w:t>DMPIQA</w:t>
            </w:r>
          </w:p>
        </w:tc>
        <w:tc>
          <w:tcPr>
            <w:tcW w:w="2429" w:type="pct"/>
            <w:tcBorders>
              <w:top w:val="nil"/>
            </w:tcBorders>
            <w:vAlign w:val="center"/>
          </w:tcPr>
          <w:p w14:paraId="12F3C3F7"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rPr>
              <w:t>Antimicrobiano</w:t>
            </w:r>
          </w:p>
        </w:tc>
        <w:tc>
          <w:tcPr>
            <w:tcW w:w="1781" w:type="pct"/>
            <w:tcBorders>
              <w:top w:val="nil"/>
            </w:tcBorders>
            <w:vAlign w:val="center"/>
          </w:tcPr>
          <w:p w14:paraId="2CB1A1B0" w14:textId="77777777" w:rsidR="008925D9" w:rsidRPr="007E1C5C" w:rsidRDefault="008925D9" w:rsidP="00E659C9">
            <w:pPr>
              <w:jc w:val="center"/>
              <w:rPr>
                <w:rFonts w:ascii="Times New Roman" w:hAnsi="Times New Roman" w:cs="Times New Roman"/>
              </w:rPr>
            </w:pPr>
            <w:r w:rsidRPr="007E1C5C">
              <w:rPr>
                <w:rFonts w:ascii="Times New Roman" w:hAnsi="Times New Roman" w:cs="Times New Roman"/>
                <w:lang w:val="es-MX"/>
              </w:rPr>
              <w:t>CAMP</w:t>
            </w:r>
            <w:r w:rsidRPr="007E1C5C">
              <w:rPr>
                <w:rFonts w:ascii="Times New Roman" w:hAnsi="Times New Roman" w:cs="Times New Roman"/>
                <w:vertAlign w:val="subscript"/>
                <w:lang w:val="es-MX"/>
              </w:rPr>
              <w:t>R4</w:t>
            </w:r>
          </w:p>
        </w:tc>
      </w:tr>
    </w:tbl>
    <w:p w14:paraId="5E9492B8" w14:textId="0F6B5002" w:rsidR="008925D9" w:rsidRPr="007E1C5C" w:rsidRDefault="008925D9" w:rsidP="008925D9">
      <w:pPr>
        <w:pBdr>
          <w:top w:val="nil"/>
          <w:left w:val="nil"/>
          <w:bottom w:val="nil"/>
          <w:right w:val="nil"/>
          <w:between w:val="nil"/>
        </w:pBdr>
        <w:spacing w:after="280"/>
        <w:rPr>
          <w:b/>
          <w:bCs/>
          <w:color w:val="000000"/>
        </w:rPr>
      </w:pPr>
    </w:p>
    <w:p w14:paraId="29DDA477" w14:textId="2C53E025" w:rsidR="008925D9" w:rsidRDefault="008925D9" w:rsidP="008925D9">
      <w:pPr>
        <w:pStyle w:val="Ttulo1"/>
        <w:numPr>
          <w:ilvl w:val="0"/>
          <w:numId w:val="3"/>
        </w:numPr>
        <w:jc w:val="both"/>
        <w:rPr>
          <w:b/>
          <w:bCs/>
        </w:rPr>
      </w:pPr>
      <w:r>
        <w:rPr>
          <w:b/>
          <w:bCs/>
        </w:rPr>
        <w:lastRenderedPageBreak/>
        <w:t>Conclusiones</w:t>
      </w:r>
    </w:p>
    <w:p w14:paraId="4FEF4958" w14:textId="655FEAA1" w:rsidR="008925D9" w:rsidRDefault="008925D9" w:rsidP="008925D9">
      <w:pPr>
        <w:pBdr>
          <w:top w:val="nil"/>
          <w:left w:val="nil"/>
          <w:bottom w:val="nil"/>
          <w:right w:val="nil"/>
          <w:between w:val="nil"/>
        </w:pBdr>
        <w:spacing w:after="280"/>
      </w:pPr>
      <w:r>
        <w:t xml:space="preserve">La </w:t>
      </w:r>
      <w:r w:rsidR="00D37957">
        <w:t xml:space="preserve">cepa </w:t>
      </w:r>
      <w:r w:rsidR="00D37957">
        <w:rPr>
          <w:i/>
          <w:iCs/>
        </w:rPr>
        <w:t xml:space="preserve">L. </w:t>
      </w:r>
      <w:proofErr w:type="spellStart"/>
      <w:r w:rsidR="00D37957">
        <w:rPr>
          <w:i/>
          <w:iCs/>
        </w:rPr>
        <w:t>plantarum</w:t>
      </w:r>
      <w:proofErr w:type="spellEnd"/>
      <w:r w:rsidR="00D37957">
        <w:rPr>
          <w:i/>
          <w:iCs/>
        </w:rPr>
        <w:t xml:space="preserve"> </w:t>
      </w:r>
      <w:r w:rsidR="00D37957">
        <w:t>CB2 demostró una excelente capacidad tecnológica para la fermentación de matrices lácteas caprinas. En leche de cabra, el microorganismo exhibió una notable capacidad acidificante, logrando mantener una alta viabilidad y un incremento sostenido en la concentración de aminoácidos libres durante los 21 días de almacenamiento refrigerado. Además, la cepa evidenció contar con un sistema proteolítico altamente eficiente frente al lactosuero caprino, generando una rápida hidrólisis proteica que podría servir para una revalorización sustentable de este subproducto agroindustrial.</w:t>
      </w:r>
    </w:p>
    <w:p w14:paraId="73B4C8AD" w14:textId="03A53EFA" w:rsidR="00D37957" w:rsidRDefault="00D37957" w:rsidP="008925D9">
      <w:pPr>
        <w:pBdr>
          <w:top w:val="nil"/>
          <w:left w:val="nil"/>
          <w:bottom w:val="nil"/>
          <w:right w:val="nil"/>
          <w:between w:val="nil"/>
        </w:pBdr>
        <w:spacing w:after="280"/>
      </w:pPr>
      <w:r>
        <w:t xml:space="preserve">El análisis </w:t>
      </w:r>
      <w:proofErr w:type="spellStart"/>
      <w:r>
        <w:t>peptidómico</w:t>
      </w:r>
      <w:proofErr w:type="spellEnd"/>
      <w:r>
        <w:t xml:space="preserve"> sobre el hidrolizado de caseína corroboró esta robusta actividad enzimática mediante la hidrólisis que resultó en péptidos de bajo peso molecular. Específicamente, </w:t>
      </w:r>
      <w:r>
        <w:rPr>
          <w:i/>
          <w:iCs/>
        </w:rPr>
        <w:t xml:space="preserve">L. </w:t>
      </w:r>
      <w:proofErr w:type="spellStart"/>
      <w:r>
        <w:rPr>
          <w:i/>
          <w:iCs/>
        </w:rPr>
        <w:t>plantarum</w:t>
      </w:r>
      <w:proofErr w:type="spellEnd"/>
      <w:r>
        <w:t xml:space="preserve"> CB2 evidenció una marcada afinidad de sustrato por las fracciones α</w:t>
      </w:r>
      <w:r w:rsidRPr="00D37957">
        <w:rPr>
          <w:vertAlign w:val="subscript"/>
        </w:rPr>
        <w:t>S1</w:t>
      </w:r>
      <w:r>
        <w:t>, α</w:t>
      </w:r>
      <w:r w:rsidRPr="00D37957">
        <w:rPr>
          <w:vertAlign w:val="subscript"/>
        </w:rPr>
        <w:t>S2</w:t>
      </w:r>
      <w:r>
        <w:t xml:space="preserve"> y β de la caseína, sin presentar actividad sobre la fracción κ, probablemente debido a la falta de proteasas de envoltura celular y a impedimentos estéricos propios de dicha proteína.</w:t>
      </w:r>
    </w:p>
    <w:p w14:paraId="6B44A7F7" w14:textId="77777777" w:rsidR="00D37957" w:rsidRDefault="00D37957" w:rsidP="008925D9">
      <w:pPr>
        <w:pBdr>
          <w:top w:val="nil"/>
          <w:left w:val="nil"/>
          <w:bottom w:val="nil"/>
          <w:right w:val="nil"/>
          <w:between w:val="nil"/>
        </w:pBdr>
        <w:spacing w:after="280"/>
      </w:pPr>
      <w:r>
        <w:t xml:space="preserve">Finalmente, la evaluación </w:t>
      </w:r>
      <w:r>
        <w:rPr>
          <w:i/>
          <w:iCs/>
        </w:rPr>
        <w:t xml:space="preserve">in </w:t>
      </w:r>
      <w:proofErr w:type="spellStart"/>
      <w:r>
        <w:rPr>
          <w:i/>
          <w:iCs/>
        </w:rPr>
        <w:t>silico</w:t>
      </w:r>
      <w:proofErr w:type="spellEnd"/>
      <w:r>
        <w:t xml:space="preserve"> permitió determinar que los di-, tri-, tetra- y oligopéptidos liberados son de naturaleza no tóxica y poseen un amplio espectro de </w:t>
      </w:r>
      <w:proofErr w:type="spellStart"/>
      <w:r>
        <w:t>biofuncionalidad</w:t>
      </w:r>
      <w:proofErr w:type="spellEnd"/>
      <w:r>
        <w:t xml:space="preserve">. El perfil hidrolítico se destacó por la predominancia de secuencias con actividad antioxidante y antihipertensiva. Además, se identificaron fragmentos con propiedades antimicrobianas, </w:t>
      </w:r>
      <w:proofErr w:type="spellStart"/>
      <w:r>
        <w:t>inmunomoduladoras</w:t>
      </w:r>
      <w:proofErr w:type="spellEnd"/>
      <w:r>
        <w:t xml:space="preserve"> y opioide para esta especie. </w:t>
      </w:r>
    </w:p>
    <w:p w14:paraId="3C92CFB9" w14:textId="6737C332" w:rsidR="00D37957" w:rsidRPr="00D37957" w:rsidRDefault="00D37957" w:rsidP="008925D9">
      <w:pPr>
        <w:pBdr>
          <w:top w:val="nil"/>
          <w:left w:val="nil"/>
          <w:bottom w:val="nil"/>
          <w:right w:val="nil"/>
          <w:between w:val="nil"/>
        </w:pBdr>
        <w:spacing w:after="280"/>
      </w:pPr>
      <w:r>
        <w:t xml:space="preserve">En conjunto, estos hallazgos posicionan a </w:t>
      </w:r>
      <w:r>
        <w:rPr>
          <w:i/>
          <w:iCs/>
        </w:rPr>
        <w:t xml:space="preserve">L. </w:t>
      </w:r>
      <w:proofErr w:type="spellStart"/>
      <w:r>
        <w:rPr>
          <w:i/>
          <w:iCs/>
        </w:rPr>
        <w:t>plantarum</w:t>
      </w:r>
      <w:proofErr w:type="spellEnd"/>
      <w:r>
        <w:t xml:space="preserve"> CB2 como un cultivo iniciador estratégico para el desarrollo biotecnológico de alimentos funcionales y nutracéuticos de alto valor agregado a partir de productos lácteos caprinos.</w:t>
      </w:r>
    </w:p>
    <w:p w14:paraId="00000017" w14:textId="67A275F8" w:rsidR="00AF3F97" w:rsidRDefault="00000000" w:rsidP="005703CE">
      <w:pPr>
        <w:numPr>
          <w:ilvl w:val="0"/>
          <w:numId w:val="2"/>
        </w:numPr>
        <w:pBdr>
          <w:top w:val="nil"/>
          <w:left w:val="nil"/>
          <w:bottom w:val="nil"/>
          <w:right w:val="nil"/>
          <w:between w:val="nil"/>
        </w:pBdr>
        <w:spacing w:after="280"/>
        <w:rPr>
          <w:b/>
          <w:bCs/>
          <w:color w:val="000000"/>
        </w:rPr>
      </w:pPr>
      <w:r>
        <w:rPr>
          <w:b/>
          <w:bCs/>
          <w:color w:val="000000"/>
        </w:rPr>
        <w:t>Referencias bibliográficas</w:t>
      </w:r>
    </w:p>
    <w:p w14:paraId="6B6BABD2" w14:textId="3AD93171" w:rsidR="00E61741" w:rsidRPr="00F46A00" w:rsidRDefault="00E61741">
      <w:r>
        <w:rPr>
          <w:lang w:val="en-US"/>
        </w:rPr>
        <w:t xml:space="preserve">Agrawal, P., Bhagat, D., </w:t>
      </w:r>
      <w:proofErr w:type="spellStart"/>
      <w:r>
        <w:rPr>
          <w:lang w:val="en-US"/>
        </w:rPr>
        <w:t>Mahalwal</w:t>
      </w:r>
      <w:proofErr w:type="spellEnd"/>
      <w:r>
        <w:rPr>
          <w:lang w:val="en-US"/>
        </w:rPr>
        <w:t xml:space="preserve">, M., Sharma, N., Raghava, G. (2021). </w:t>
      </w:r>
      <w:proofErr w:type="spellStart"/>
      <w:r>
        <w:rPr>
          <w:lang w:val="en-US"/>
        </w:rPr>
        <w:t>AntiCP</w:t>
      </w:r>
      <w:proofErr w:type="spellEnd"/>
      <w:r>
        <w:rPr>
          <w:lang w:val="en-US"/>
        </w:rPr>
        <w:t xml:space="preserve"> 2.0: An updated model for predicting anticancer peptides. </w:t>
      </w:r>
      <w:r>
        <w:rPr>
          <w:i/>
          <w:iCs/>
          <w:lang w:val="en-US"/>
        </w:rPr>
        <w:t>Briefings in Bioinformatics</w:t>
      </w:r>
      <w:r w:rsidR="00F46A00">
        <w:rPr>
          <w:lang w:val="en-US"/>
        </w:rPr>
        <w:t xml:space="preserve">, 22(3): bbaa153. </w:t>
      </w:r>
      <w:hyperlink r:id="rId16" w:history="1">
        <w:r w:rsidR="00F46A00" w:rsidRPr="00F46A00">
          <w:rPr>
            <w:rStyle w:val="Hipervnculo"/>
          </w:rPr>
          <w:t>https://doi.org/10.1093/bib/bbaa153</w:t>
        </w:r>
      </w:hyperlink>
    </w:p>
    <w:p w14:paraId="01715346" w14:textId="74BFC34F" w:rsidR="002A6FB3" w:rsidRDefault="002A6FB3">
      <w:r>
        <w:t xml:space="preserve">Biadala, A., Szablewski, T., Cegielska, R., Lasik, M., Mohd, N. (2023). </w:t>
      </w:r>
      <w:r w:rsidRPr="002A6FB3">
        <w:rPr>
          <w:lang w:val="en-US"/>
        </w:rPr>
        <w:t>Bioconversion of milk and whey from goat milk to r</w:t>
      </w:r>
      <w:r>
        <w:rPr>
          <w:lang w:val="en-US"/>
        </w:rPr>
        <w:t xml:space="preserve">elease biomolecules with antibacterial activity. </w:t>
      </w:r>
      <w:proofErr w:type="spellStart"/>
      <w:r w:rsidRPr="002A6FB3">
        <w:rPr>
          <w:i/>
          <w:iCs/>
        </w:rPr>
        <w:t>Molec</w:t>
      </w:r>
      <w:r>
        <w:rPr>
          <w:i/>
          <w:iCs/>
        </w:rPr>
        <w:t>ules</w:t>
      </w:r>
      <w:proofErr w:type="spellEnd"/>
      <w:r>
        <w:t xml:space="preserve">, 28(9), 3696. </w:t>
      </w:r>
      <w:hyperlink r:id="rId17" w:history="1">
        <w:r w:rsidRPr="00FF200C">
          <w:rPr>
            <w:rStyle w:val="Hipervnculo"/>
          </w:rPr>
          <w:t>https://doi.org/10.3390/molecules28093696</w:t>
        </w:r>
      </w:hyperlink>
    </w:p>
    <w:p w14:paraId="3D5B7050" w14:textId="7B979663" w:rsidR="000E04A5" w:rsidRDefault="000E04A5">
      <w:pPr>
        <w:rPr>
          <w:lang w:val="en-US"/>
        </w:rPr>
      </w:pPr>
      <w:r w:rsidRPr="00F46A00">
        <w:lastRenderedPageBreak/>
        <w:t xml:space="preserve">Brown, L., Vera, E., Mozzi, F., Saavedra, L., Villegas, J., Hebert, E. (2017). </w:t>
      </w:r>
      <w:r>
        <w:rPr>
          <w:lang w:val="en-US"/>
        </w:rPr>
        <w:t xml:space="preserve">Lactic acid bacteria as cell factories for the generation of bioactive peptides. </w:t>
      </w:r>
      <w:r>
        <w:rPr>
          <w:i/>
          <w:iCs/>
          <w:lang w:val="en-US"/>
        </w:rPr>
        <w:t xml:space="preserve">Protein </w:t>
      </w:r>
      <w:r>
        <w:rPr>
          <w:lang w:val="en-US"/>
        </w:rPr>
        <w:t xml:space="preserve">&amp; </w:t>
      </w:r>
      <w:r>
        <w:rPr>
          <w:i/>
          <w:iCs/>
          <w:lang w:val="en-US"/>
        </w:rPr>
        <w:t xml:space="preserve">Peptide Letters </w:t>
      </w:r>
      <w:r>
        <w:rPr>
          <w:lang w:val="en-US"/>
        </w:rPr>
        <w:t xml:space="preserve">24, 146-155. </w:t>
      </w:r>
      <w:hyperlink r:id="rId18" w:history="1">
        <w:r w:rsidR="00F4030F" w:rsidRPr="005B67D1">
          <w:rPr>
            <w:rStyle w:val="Hipervnculo"/>
            <w:lang w:val="en-US"/>
          </w:rPr>
          <w:t>https://doi.org/10.2174/0929866524666161123111333</w:t>
        </w:r>
      </w:hyperlink>
    </w:p>
    <w:p w14:paraId="4F626CA0" w14:textId="61DC83B4" w:rsidR="0028566F" w:rsidRPr="007E1C5C" w:rsidRDefault="0028566F">
      <w:r w:rsidRPr="0028566F">
        <w:rPr>
          <w:lang w:val="en-US"/>
        </w:rPr>
        <w:t>Chen, Q., Yin, Q., Xie, Q., Smith, E., Zhao, X., Li, B., Huo, G. Elucidatin</w:t>
      </w:r>
      <w:r>
        <w:rPr>
          <w:lang w:val="en-US"/>
        </w:rPr>
        <w:t xml:space="preserve">g the physicochemical properties and surface composition of goat milk-based infant formula powders. </w:t>
      </w:r>
      <w:proofErr w:type="spellStart"/>
      <w:r w:rsidRPr="007E1C5C">
        <w:rPr>
          <w:i/>
          <w:iCs/>
        </w:rPr>
        <w:t>Food</w:t>
      </w:r>
      <w:proofErr w:type="spellEnd"/>
      <w:r w:rsidRPr="007E1C5C">
        <w:rPr>
          <w:i/>
          <w:iCs/>
        </w:rPr>
        <w:t xml:space="preserve"> </w:t>
      </w:r>
      <w:proofErr w:type="spellStart"/>
      <w:r w:rsidRPr="007E1C5C">
        <w:rPr>
          <w:i/>
          <w:iCs/>
        </w:rPr>
        <w:t>Chemistry</w:t>
      </w:r>
      <w:proofErr w:type="spellEnd"/>
      <w:r w:rsidRPr="007E1C5C">
        <w:t xml:space="preserve">, 377, 131936. </w:t>
      </w:r>
      <w:hyperlink r:id="rId19" w:history="1">
        <w:r w:rsidRPr="007E1C5C">
          <w:rPr>
            <w:rStyle w:val="Hipervnculo"/>
          </w:rPr>
          <w:t>https://doi.org/10.1016/j.foodchem.2021.131936</w:t>
        </w:r>
      </w:hyperlink>
    </w:p>
    <w:p w14:paraId="0DFEF959" w14:textId="2785B44B" w:rsidR="00390E53" w:rsidRDefault="00390E53">
      <w:r w:rsidRPr="0028566F">
        <w:t xml:space="preserve">Contreras, M. (2016). </w:t>
      </w:r>
      <w:r w:rsidRPr="00390E53">
        <w:t xml:space="preserve">Caracterización del </w:t>
      </w:r>
      <w:r>
        <w:t xml:space="preserve">manejo de la majada caprina en el suroeste santiagueño. </w:t>
      </w:r>
      <w:r>
        <w:rPr>
          <w:i/>
          <w:iCs/>
        </w:rPr>
        <w:t>Serie de Informes Técnicos EEA Santiago del Estero – Sitio Argentino de Producción Animal</w:t>
      </w:r>
      <w:r>
        <w:t xml:space="preserve">, ISSN 1850-4086. </w:t>
      </w:r>
      <w:hyperlink r:id="rId20" w:history="1">
        <w:r w:rsidRPr="005B67D1">
          <w:rPr>
            <w:rStyle w:val="Hipervnculo"/>
          </w:rPr>
          <w:t>https://producción-animal.com.ar/produccion_caprina/produccion_caprina/175-manejo_oeste_santiagueno.pdf</w:t>
        </w:r>
      </w:hyperlink>
    </w:p>
    <w:p w14:paraId="7A629673" w14:textId="0013ADCB" w:rsidR="00F4030F" w:rsidRDefault="00F4030F">
      <w:pPr>
        <w:rPr>
          <w:lang w:val="en-US"/>
        </w:rPr>
      </w:pPr>
      <w:r w:rsidRPr="00390E53">
        <w:rPr>
          <w:lang w:val="en-US"/>
        </w:rPr>
        <w:t xml:space="preserve">Dai, X., Dong, W., Yu, X., Li, Y., Yang, X., Xu, G., Huang, A., Shi, Y. (2025). </w:t>
      </w:r>
      <w:r>
        <w:rPr>
          <w:lang w:val="en-US"/>
        </w:rPr>
        <w:t xml:space="preserve">Research and insights on antimicrobial peptides derived from fermented yak milk casein based on enzymatic cleavage sites and molecular interactions. </w:t>
      </w:r>
      <w:r>
        <w:rPr>
          <w:i/>
          <w:iCs/>
          <w:lang w:val="en-US"/>
        </w:rPr>
        <w:t xml:space="preserve">Journal Dairy Sciences </w:t>
      </w:r>
      <w:r>
        <w:rPr>
          <w:lang w:val="en-US"/>
        </w:rPr>
        <w:t>109, 5912-5926. https:/doi.org/10.3168/jds.2025-27978</w:t>
      </w:r>
    </w:p>
    <w:p w14:paraId="513625FC" w14:textId="22EED12A" w:rsidR="00390E53" w:rsidRPr="007E1C5C" w:rsidRDefault="00390E53">
      <w:pPr>
        <w:rPr>
          <w:lang w:val="en-US"/>
        </w:rPr>
      </w:pPr>
      <w:r w:rsidRPr="00390E53">
        <w:rPr>
          <w:lang w:val="en-US"/>
        </w:rPr>
        <w:t>Duan, C., Ma, L., Cai, L., Li, X., Ma, F., Chen, J., Huo, G., Li, D. Comparison of</w:t>
      </w:r>
      <w:r>
        <w:rPr>
          <w:lang w:val="en-US"/>
        </w:rPr>
        <w:t xml:space="preserve"> allergenicity among cow, goat, and horse milks using a murine model of atopy. </w:t>
      </w:r>
      <w:r>
        <w:rPr>
          <w:i/>
          <w:iCs/>
          <w:lang w:val="en-US"/>
        </w:rPr>
        <w:t>Food &amp; Function</w:t>
      </w:r>
      <w:r>
        <w:rPr>
          <w:lang w:val="en-US"/>
        </w:rPr>
        <w:t xml:space="preserve">, 12(12): 5417-5428. </w:t>
      </w:r>
      <w:hyperlink r:id="rId21" w:history="1">
        <w:r w:rsidRPr="007E1C5C">
          <w:rPr>
            <w:rStyle w:val="Hipervnculo"/>
            <w:lang w:val="en-US"/>
          </w:rPr>
          <w:t>https://doi.org/10.1039/d1fo00492a</w:t>
        </w:r>
      </w:hyperlink>
    </w:p>
    <w:p w14:paraId="6E66AB0F" w14:textId="27FA13C7" w:rsidR="00EA35AE" w:rsidRDefault="00EA35AE">
      <w:r w:rsidRPr="007E1C5C">
        <w:rPr>
          <w:lang w:val="en-US"/>
        </w:rPr>
        <w:t xml:space="preserve">García, C., </w:t>
      </w:r>
      <w:proofErr w:type="spellStart"/>
      <w:r w:rsidRPr="007E1C5C">
        <w:rPr>
          <w:lang w:val="en-US"/>
        </w:rPr>
        <w:t>Arrázola</w:t>
      </w:r>
      <w:proofErr w:type="spellEnd"/>
      <w:r w:rsidRPr="007E1C5C">
        <w:rPr>
          <w:lang w:val="en-US"/>
        </w:rPr>
        <w:t xml:space="preserve">, G., Villalba, M. (2013). </w:t>
      </w:r>
      <w:r w:rsidRPr="00EA35AE">
        <w:rPr>
          <w:lang w:val="en-US"/>
        </w:rPr>
        <w:t>Production of lact</w:t>
      </w:r>
      <w:r>
        <w:rPr>
          <w:lang w:val="en-US"/>
        </w:rPr>
        <w:t xml:space="preserve">ic acid with supplemented whey using </w:t>
      </w:r>
      <w:r>
        <w:rPr>
          <w:i/>
          <w:iCs/>
          <w:lang w:val="en-US"/>
        </w:rPr>
        <w:t>Lactobacillus casei</w:t>
      </w:r>
      <w:r>
        <w:rPr>
          <w:lang w:val="en-US"/>
        </w:rPr>
        <w:t xml:space="preserve">. </w:t>
      </w:r>
      <w:r w:rsidRPr="00EA35AE">
        <w:rPr>
          <w:i/>
          <w:iCs/>
        </w:rPr>
        <w:t>B</w:t>
      </w:r>
      <w:r>
        <w:rPr>
          <w:i/>
          <w:iCs/>
        </w:rPr>
        <w:t>iotecnología en el Sector Agropecuario y Agroindustrial</w:t>
      </w:r>
      <w:r>
        <w:t xml:space="preserve">, 11(1), 136-143. </w:t>
      </w:r>
      <w:hyperlink r:id="rId22" w:history="1">
        <w:r w:rsidRPr="005B67D1">
          <w:rPr>
            <w:rStyle w:val="Hipervnculo"/>
          </w:rPr>
          <w:t>https://scielo.org.co/scielo.php?pid=S1692-3561201300010017&amp;script=sci_arttext&amp;lng=es</w:t>
        </w:r>
      </w:hyperlink>
    </w:p>
    <w:p w14:paraId="13EF3ACD" w14:textId="7AC09789" w:rsidR="00D5200D" w:rsidRPr="007E1C5C" w:rsidRDefault="00D5200D">
      <w:pPr>
        <w:rPr>
          <w:lang w:val="en-US"/>
        </w:rPr>
      </w:pPr>
      <w:proofErr w:type="spellStart"/>
      <w:r w:rsidRPr="00D5200D">
        <w:rPr>
          <w:lang w:val="en-US"/>
        </w:rPr>
        <w:t>Gattiker</w:t>
      </w:r>
      <w:proofErr w:type="spellEnd"/>
      <w:r w:rsidRPr="00D5200D">
        <w:rPr>
          <w:lang w:val="en-US"/>
        </w:rPr>
        <w:t xml:space="preserve">, A., </w:t>
      </w:r>
      <w:proofErr w:type="spellStart"/>
      <w:r w:rsidRPr="00D5200D">
        <w:rPr>
          <w:lang w:val="en-US"/>
        </w:rPr>
        <w:t>Bienvenut</w:t>
      </w:r>
      <w:proofErr w:type="spellEnd"/>
      <w:r w:rsidRPr="00D5200D">
        <w:rPr>
          <w:lang w:val="en-US"/>
        </w:rPr>
        <w:t xml:space="preserve">, W., </w:t>
      </w:r>
      <w:proofErr w:type="spellStart"/>
      <w:r w:rsidRPr="00D5200D">
        <w:rPr>
          <w:lang w:val="en-US"/>
        </w:rPr>
        <w:t>B</w:t>
      </w:r>
      <w:r>
        <w:rPr>
          <w:lang w:val="en-US"/>
        </w:rPr>
        <w:t>airoch</w:t>
      </w:r>
      <w:proofErr w:type="spellEnd"/>
      <w:r>
        <w:rPr>
          <w:lang w:val="en-US"/>
        </w:rPr>
        <w:t xml:space="preserve">, A., Gasteiger, E. (2002). </w:t>
      </w:r>
      <w:proofErr w:type="spellStart"/>
      <w:r w:rsidRPr="00D5200D">
        <w:rPr>
          <w:lang w:val="en-US"/>
        </w:rPr>
        <w:t>FindPept</w:t>
      </w:r>
      <w:proofErr w:type="spellEnd"/>
      <w:r w:rsidRPr="00D5200D">
        <w:rPr>
          <w:lang w:val="en-US"/>
        </w:rPr>
        <w:t>, a tool to i</w:t>
      </w:r>
      <w:r>
        <w:rPr>
          <w:lang w:val="en-US"/>
        </w:rPr>
        <w:t xml:space="preserve">dentify unmatched masses in peptide mass fingerprinting protein identification. </w:t>
      </w:r>
      <w:r w:rsidRPr="007E1C5C">
        <w:rPr>
          <w:i/>
          <w:iCs/>
          <w:lang w:val="en-US"/>
        </w:rPr>
        <w:t>Proteomics</w:t>
      </w:r>
      <w:r w:rsidRPr="007E1C5C">
        <w:rPr>
          <w:lang w:val="en-US"/>
        </w:rPr>
        <w:t>, 2(10): 1435-1444. https://doi.org/10.1002/1615-9861(200210)2:10&lt;</w:t>
      </w:r>
      <w:proofErr w:type="gramStart"/>
      <w:r w:rsidRPr="007E1C5C">
        <w:rPr>
          <w:lang w:val="en-US"/>
        </w:rPr>
        <w:t>1435::</w:t>
      </w:r>
      <w:proofErr w:type="gramEnd"/>
      <w:r w:rsidRPr="007E1C5C">
        <w:rPr>
          <w:lang w:val="en-US"/>
        </w:rPr>
        <w:t>AID-PROT1435</w:t>
      </w:r>
      <w:r w:rsidRPr="007E1C5C">
        <w:rPr>
          <w:rFonts w:ascii="Calibri" w:hAnsi="Calibri" w:cs="Calibri"/>
          <w:lang w:val="en-US"/>
        </w:rPr>
        <w:t>˃</w:t>
      </w:r>
      <w:r w:rsidRPr="007E1C5C">
        <w:rPr>
          <w:lang w:val="en-US"/>
        </w:rPr>
        <w:t>3.0.CO;2-9</w:t>
      </w:r>
    </w:p>
    <w:p w14:paraId="33855546" w14:textId="53BEBDFB" w:rsidR="00E61741" w:rsidRPr="00E61741" w:rsidRDefault="00E61741">
      <w:r w:rsidRPr="00E61741">
        <w:rPr>
          <w:lang w:val="en-US"/>
        </w:rPr>
        <w:t xml:space="preserve">Gawde, U., Chakraborty, S., </w:t>
      </w:r>
      <w:proofErr w:type="spellStart"/>
      <w:r w:rsidRPr="00E61741">
        <w:rPr>
          <w:lang w:val="en-US"/>
        </w:rPr>
        <w:t>W</w:t>
      </w:r>
      <w:r>
        <w:rPr>
          <w:lang w:val="en-US"/>
        </w:rPr>
        <w:t>aghu</w:t>
      </w:r>
      <w:proofErr w:type="spellEnd"/>
      <w:r>
        <w:rPr>
          <w:lang w:val="en-US"/>
        </w:rPr>
        <w:t xml:space="preserve">, F., Barai, R., </w:t>
      </w:r>
      <w:proofErr w:type="spellStart"/>
      <w:r>
        <w:rPr>
          <w:lang w:val="en-US"/>
        </w:rPr>
        <w:t>Khanderkar</w:t>
      </w:r>
      <w:proofErr w:type="spellEnd"/>
      <w:r>
        <w:rPr>
          <w:lang w:val="en-US"/>
        </w:rPr>
        <w:t xml:space="preserve">, A., </w:t>
      </w:r>
      <w:proofErr w:type="spellStart"/>
      <w:r>
        <w:rPr>
          <w:lang w:val="en-US"/>
        </w:rPr>
        <w:t>Indraguru</w:t>
      </w:r>
      <w:proofErr w:type="spellEnd"/>
      <w:r>
        <w:rPr>
          <w:lang w:val="en-US"/>
        </w:rPr>
        <w:t xml:space="preserve">, R., </w:t>
      </w:r>
      <w:proofErr w:type="spellStart"/>
      <w:r>
        <w:rPr>
          <w:lang w:val="en-US"/>
        </w:rPr>
        <w:t>Shirsat</w:t>
      </w:r>
      <w:proofErr w:type="spellEnd"/>
      <w:r>
        <w:rPr>
          <w:lang w:val="en-US"/>
        </w:rPr>
        <w:t>, T., Idicula, S. (2023). CAMP</w:t>
      </w:r>
      <w:r>
        <w:rPr>
          <w:vertAlign w:val="subscript"/>
          <w:lang w:val="en-US"/>
        </w:rPr>
        <w:t>R4</w:t>
      </w:r>
      <w:r>
        <w:rPr>
          <w:lang w:val="en-US"/>
        </w:rPr>
        <w:t xml:space="preserve">: A database of natural and synthetic antimicrobial peptides. </w:t>
      </w:r>
      <w:r>
        <w:rPr>
          <w:i/>
          <w:iCs/>
          <w:lang w:val="en-US"/>
        </w:rPr>
        <w:t>Nucleic Acids Research</w:t>
      </w:r>
      <w:r>
        <w:rPr>
          <w:lang w:val="en-US"/>
        </w:rPr>
        <w:t xml:space="preserve">, 51, 377-383. </w:t>
      </w:r>
      <w:hyperlink r:id="rId23" w:history="1">
        <w:r w:rsidRPr="00E61741">
          <w:rPr>
            <w:rStyle w:val="Hipervnculo"/>
          </w:rPr>
          <w:t>https://doi.org/10.1093/nar/gkac933</w:t>
        </w:r>
      </w:hyperlink>
    </w:p>
    <w:p w14:paraId="17D327E8" w14:textId="335A8AA3" w:rsidR="00F4030F" w:rsidRDefault="00F4030F">
      <w:pPr>
        <w:rPr>
          <w:lang w:val="en-US"/>
        </w:rPr>
      </w:pPr>
      <w:r w:rsidRPr="00E61741">
        <w:t xml:space="preserve">Inci, H., Kiran, F., Sardan, M., </w:t>
      </w:r>
      <w:proofErr w:type="spellStart"/>
      <w:r w:rsidRPr="00E61741">
        <w:t>Celikbicak</w:t>
      </w:r>
      <w:proofErr w:type="spellEnd"/>
      <w:r w:rsidRPr="00E61741">
        <w:t xml:space="preserve">, Ö., </w:t>
      </w:r>
      <w:proofErr w:type="spellStart"/>
      <w:r w:rsidRPr="00E61741">
        <w:t>Ozturkoglu</w:t>
      </w:r>
      <w:proofErr w:type="spellEnd"/>
      <w:r w:rsidRPr="00E61741">
        <w:t xml:space="preserve">, S. (2026). </w:t>
      </w:r>
      <w:proofErr w:type="spellStart"/>
      <w:r w:rsidRPr="00F4030F">
        <w:rPr>
          <w:lang w:val="en-US"/>
        </w:rPr>
        <w:t>Peptidomic</w:t>
      </w:r>
      <w:proofErr w:type="spellEnd"/>
      <w:r w:rsidRPr="00F4030F">
        <w:rPr>
          <w:lang w:val="en-US"/>
        </w:rPr>
        <w:t xml:space="preserve"> characterization of &lt;3 </w:t>
      </w:r>
      <w:proofErr w:type="spellStart"/>
      <w:r w:rsidRPr="00F4030F">
        <w:rPr>
          <w:lang w:val="en-US"/>
        </w:rPr>
        <w:t>kDa</w:t>
      </w:r>
      <w:proofErr w:type="spellEnd"/>
      <w:r w:rsidRPr="00F4030F">
        <w:rPr>
          <w:lang w:val="en-US"/>
        </w:rPr>
        <w:t xml:space="preserve"> peptides from milk fermented by l</w:t>
      </w:r>
      <w:r>
        <w:rPr>
          <w:lang w:val="en-US"/>
        </w:rPr>
        <w:t xml:space="preserve">actic acid bacteria: Sequence-based antimicrobial prediction and </w:t>
      </w:r>
      <w:r>
        <w:rPr>
          <w:i/>
          <w:iCs/>
          <w:lang w:val="en-US"/>
        </w:rPr>
        <w:t xml:space="preserve">in vitro </w:t>
      </w:r>
      <w:r>
        <w:rPr>
          <w:lang w:val="en-US"/>
        </w:rPr>
        <w:t xml:space="preserve">immune-oncological evaluation. </w:t>
      </w:r>
      <w:r>
        <w:rPr>
          <w:i/>
          <w:iCs/>
          <w:lang w:val="en-US"/>
        </w:rPr>
        <w:t>Probiotics and Antimicrobial Proteins</w:t>
      </w:r>
      <w:r w:rsidR="00203CF0">
        <w:rPr>
          <w:lang w:val="en-US"/>
        </w:rPr>
        <w:t>. https:/doi.org/10.1007/s12602-026-10958-3</w:t>
      </w:r>
    </w:p>
    <w:p w14:paraId="0ADF2B77" w14:textId="1096CBAD" w:rsidR="00F46A00" w:rsidRDefault="00F46A00">
      <w:pPr>
        <w:rPr>
          <w:lang w:val="en-US"/>
        </w:rPr>
      </w:pPr>
      <w:r w:rsidRPr="007E1C5C">
        <w:rPr>
          <w:lang w:val="en-US"/>
        </w:rPr>
        <w:lastRenderedPageBreak/>
        <w:t xml:space="preserve">Kathun, M., Hasan, M., Kurata, H. (2019). </w:t>
      </w:r>
      <w:proofErr w:type="spellStart"/>
      <w:r w:rsidRPr="00F46A00">
        <w:rPr>
          <w:lang w:val="en-US"/>
        </w:rPr>
        <w:t>PreAIP</w:t>
      </w:r>
      <w:proofErr w:type="spellEnd"/>
      <w:r w:rsidRPr="00F46A00">
        <w:rPr>
          <w:lang w:val="en-US"/>
        </w:rPr>
        <w:t>: C</w:t>
      </w:r>
      <w:r>
        <w:rPr>
          <w:lang w:val="en-US"/>
        </w:rPr>
        <w:t xml:space="preserve">omputational prediction of anti-inflammatory peptides by integrating multiple complementary features. </w:t>
      </w:r>
      <w:r>
        <w:rPr>
          <w:i/>
          <w:iCs/>
          <w:lang w:val="en-US"/>
        </w:rPr>
        <w:t>Frontiers in Genetics</w:t>
      </w:r>
      <w:r>
        <w:rPr>
          <w:lang w:val="en-US"/>
        </w:rPr>
        <w:t xml:space="preserve">, 10: 129. </w:t>
      </w:r>
      <w:hyperlink r:id="rId24" w:history="1">
        <w:r w:rsidRPr="005B67D1">
          <w:rPr>
            <w:rStyle w:val="Hipervnculo"/>
            <w:lang w:val="en-US"/>
          </w:rPr>
          <w:t>https://doi.org/10.3389/fgene.2019.00129</w:t>
        </w:r>
      </w:hyperlink>
    </w:p>
    <w:p w14:paraId="0C56222A" w14:textId="0319ABC4" w:rsidR="00575F00" w:rsidRPr="007E1C5C" w:rsidRDefault="00575F00">
      <w:pPr>
        <w:rPr>
          <w:lang w:val="en-US"/>
        </w:rPr>
      </w:pPr>
      <w:proofErr w:type="spellStart"/>
      <w:r w:rsidRPr="00575F00">
        <w:rPr>
          <w:lang w:val="en-US"/>
        </w:rPr>
        <w:t>Khubber</w:t>
      </w:r>
      <w:proofErr w:type="spellEnd"/>
      <w:r w:rsidRPr="00575F00">
        <w:rPr>
          <w:lang w:val="en-US"/>
        </w:rPr>
        <w:t>, S., Marti, F., T</w:t>
      </w:r>
      <w:r>
        <w:rPr>
          <w:lang w:val="en-US"/>
        </w:rPr>
        <w:t xml:space="preserve">omasevic, I., </w:t>
      </w:r>
      <w:proofErr w:type="spellStart"/>
      <w:r>
        <w:rPr>
          <w:lang w:val="en-US"/>
        </w:rPr>
        <w:t>Remize</w:t>
      </w:r>
      <w:proofErr w:type="spellEnd"/>
      <w:r>
        <w:rPr>
          <w:lang w:val="en-US"/>
        </w:rPr>
        <w:t xml:space="preserve">, F., Barba, F. Lactic acid fermentation as a useful strategy to recover antimicrobial and antioxidant compounds from food and by-products. </w:t>
      </w:r>
      <w:r w:rsidRPr="00575F00">
        <w:rPr>
          <w:i/>
          <w:iCs/>
          <w:lang w:val="en-US"/>
        </w:rPr>
        <w:t>Curren Opinion in Food Science</w:t>
      </w:r>
      <w:r w:rsidRPr="00575F00">
        <w:rPr>
          <w:lang w:val="en-US"/>
        </w:rPr>
        <w:t>,</w:t>
      </w:r>
      <w:r w:rsidRPr="00575F00">
        <w:rPr>
          <w:i/>
          <w:iCs/>
          <w:lang w:val="en-US"/>
        </w:rPr>
        <w:t xml:space="preserve"> </w:t>
      </w:r>
      <w:r w:rsidRPr="00575F00">
        <w:rPr>
          <w:lang w:val="en-US"/>
        </w:rPr>
        <w:t xml:space="preserve">43, 189-198. </w:t>
      </w:r>
      <w:hyperlink r:id="rId25" w:history="1">
        <w:r w:rsidRPr="007E1C5C">
          <w:rPr>
            <w:rStyle w:val="Hipervnculo"/>
            <w:lang w:val="en-US"/>
          </w:rPr>
          <w:t>https://doi.org/10.1016/j.cofs.2021.11.013</w:t>
        </w:r>
      </w:hyperlink>
    </w:p>
    <w:p w14:paraId="6E8C98A9" w14:textId="55FE0016" w:rsidR="00203CF0" w:rsidRDefault="00203CF0">
      <w:pPr>
        <w:rPr>
          <w:lang w:val="en-US"/>
        </w:rPr>
      </w:pPr>
      <w:r w:rsidRPr="00575F00">
        <w:t xml:space="preserve">Luz, C., Izzo, L., Graziani, G., Gaspari, A., </w:t>
      </w:r>
      <w:proofErr w:type="spellStart"/>
      <w:r w:rsidRPr="00575F00">
        <w:t>Ritieni</w:t>
      </w:r>
      <w:proofErr w:type="spellEnd"/>
      <w:r w:rsidRPr="00575F00">
        <w:t xml:space="preserve">, A., Mañes, J., Meca, G. (2018). </w:t>
      </w:r>
      <w:r w:rsidRPr="00203CF0">
        <w:rPr>
          <w:lang w:val="en-US"/>
        </w:rPr>
        <w:t>Evaluation of biological and anti</w:t>
      </w:r>
      <w:r>
        <w:rPr>
          <w:lang w:val="en-US"/>
        </w:rPr>
        <w:t xml:space="preserve">microbial properties of freeze-dried whey fermented by different strains of </w:t>
      </w:r>
      <w:r>
        <w:rPr>
          <w:i/>
          <w:iCs/>
          <w:lang w:val="en-US"/>
        </w:rPr>
        <w:t>Lactobacillus plantarum</w:t>
      </w:r>
      <w:r>
        <w:rPr>
          <w:lang w:val="en-US"/>
        </w:rPr>
        <w:t xml:space="preserve">. </w:t>
      </w:r>
      <w:r>
        <w:rPr>
          <w:i/>
          <w:iCs/>
          <w:lang w:val="en-US"/>
        </w:rPr>
        <w:t>Food &amp; Function</w:t>
      </w:r>
      <w:r>
        <w:rPr>
          <w:lang w:val="en-US"/>
        </w:rPr>
        <w:t>,</w:t>
      </w:r>
      <w:r>
        <w:rPr>
          <w:i/>
          <w:iCs/>
          <w:lang w:val="en-US"/>
        </w:rPr>
        <w:t xml:space="preserve"> </w:t>
      </w:r>
      <w:r>
        <w:rPr>
          <w:lang w:val="en-US"/>
        </w:rPr>
        <w:t>9(</w:t>
      </w:r>
      <w:r>
        <w:rPr>
          <w:i/>
          <w:iCs/>
          <w:lang w:val="en-US"/>
        </w:rPr>
        <w:t>7</w:t>
      </w:r>
      <w:r>
        <w:rPr>
          <w:lang w:val="en-US"/>
        </w:rPr>
        <w:t xml:space="preserve">), 3688-3697. </w:t>
      </w:r>
      <w:hyperlink r:id="rId26" w:history="1">
        <w:r w:rsidRPr="005B67D1">
          <w:rPr>
            <w:rStyle w:val="Hipervnculo"/>
            <w:lang w:val="en-US"/>
          </w:rPr>
          <w:t>https://doi.org/10.1039/c8fo00535d</w:t>
        </w:r>
      </w:hyperlink>
    </w:p>
    <w:p w14:paraId="00000018" w14:textId="66AF4F93" w:rsidR="00AF3F97" w:rsidRDefault="00F028CC">
      <w:pPr>
        <w:rPr>
          <w:lang w:val="en-US"/>
        </w:rPr>
      </w:pPr>
      <w:r w:rsidRPr="00F028CC">
        <w:rPr>
          <w:lang w:val="en-US"/>
        </w:rPr>
        <w:t>Mathur, H., Beresford, T., C</w:t>
      </w:r>
      <w:r>
        <w:rPr>
          <w:lang w:val="en-US"/>
        </w:rPr>
        <w:t xml:space="preserve">otter, P. (2020). Health benefits of lactic acid bacteria (LAB) </w:t>
      </w:r>
      <w:proofErr w:type="spellStart"/>
      <w:r>
        <w:rPr>
          <w:lang w:val="en-US"/>
        </w:rPr>
        <w:t>fermentates</w:t>
      </w:r>
      <w:proofErr w:type="spellEnd"/>
      <w:r>
        <w:rPr>
          <w:lang w:val="en-US"/>
        </w:rPr>
        <w:t xml:space="preserve">. </w:t>
      </w:r>
      <w:r>
        <w:rPr>
          <w:i/>
          <w:iCs/>
          <w:lang w:val="en-US"/>
        </w:rPr>
        <w:t>Nutrients</w:t>
      </w:r>
      <w:r>
        <w:rPr>
          <w:lang w:val="en-US"/>
        </w:rPr>
        <w:t xml:space="preserve">, 12(6), 1679. </w:t>
      </w:r>
      <w:hyperlink r:id="rId27" w:history="1">
        <w:r w:rsidRPr="005B67D1">
          <w:rPr>
            <w:rStyle w:val="Hipervnculo"/>
            <w:lang w:val="en-US"/>
          </w:rPr>
          <w:t>https://doi.org/10.3390/nu12061679</w:t>
        </w:r>
      </w:hyperlink>
    </w:p>
    <w:p w14:paraId="23C3E67F" w14:textId="0FFA6AB5" w:rsidR="00FF6410" w:rsidRPr="007E1C5C" w:rsidRDefault="00FF6410">
      <w:pPr>
        <w:rPr>
          <w:lang w:val="en-US"/>
        </w:rPr>
      </w:pPr>
      <w:r w:rsidRPr="00FF6410">
        <w:rPr>
          <w:lang w:val="en-US"/>
        </w:rPr>
        <w:t xml:space="preserve">Melia, S., </w:t>
      </w:r>
      <w:proofErr w:type="spellStart"/>
      <w:r w:rsidRPr="00FF6410">
        <w:rPr>
          <w:lang w:val="en-US"/>
        </w:rPr>
        <w:t>Juliyarsi</w:t>
      </w:r>
      <w:proofErr w:type="spellEnd"/>
      <w:r w:rsidRPr="00FF6410">
        <w:rPr>
          <w:lang w:val="en-US"/>
        </w:rPr>
        <w:t>, I., Aritonang, S., Set</w:t>
      </w:r>
      <w:r>
        <w:rPr>
          <w:lang w:val="en-US"/>
        </w:rPr>
        <w:t xml:space="preserve">iawan, R., </w:t>
      </w:r>
      <w:proofErr w:type="spellStart"/>
      <w:r>
        <w:rPr>
          <w:lang w:val="en-US"/>
        </w:rPr>
        <w:t>Rusdimansyah</w:t>
      </w:r>
      <w:proofErr w:type="spellEnd"/>
      <w:r>
        <w:rPr>
          <w:lang w:val="en-US"/>
        </w:rPr>
        <w:t xml:space="preserve">, R. (2024). Evaluation of fermented goat milk quality </w:t>
      </w:r>
      <w:r w:rsidR="00BB08A0" w:rsidRPr="00BB08A0">
        <w:rPr>
          <w:i/>
          <w:iCs/>
          <w:lang w:val="en-US"/>
        </w:rPr>
        <w:t>L.</w:t>
      </w:r>
      <w:r>
        <w:rPr>
          <w:i/>
          <w:iCs/>
          <w:lang w:val="en-US"/>
        </w:rPr>
        <w:t xml:space="preserve"> plantarum </w:t>
      </w:r>
      <w:r>
        <w:rPr>
          <w:lang w:val="en-US"/>
        </w:rPr>
        <w:t xml:space="preserve">SNT13 enhanced with </w:t>
      </w:r>
      <w:proofErr w:type="spellStart"/>
      <w:r>
        <w:rPr>
          <w:i/>
          <w:iCs/>
          <w:lang w:val="en-US"/>
        </w:rPr>
        <w:t>Clitoria</w:t>
      </w:r>
      <w:proofErr w:type="spellEnd"/>
      <w:r>
        <w:rPr>
          <w:i/>
          <w:iCs/>
          <w:lang w:val="en-US"/>
        </w:rPr>
        <w:t xml:space="preserve"> </w:t>
      </w:r>
      <w:proofErr w:type="spellStart"/>
      <w:r>
        <w:rPr>
          <w:i/>
          <w:iCs/>
          <w:lang w:val="en-US"/>
        </w:rPr>
        <w:t>ternatea</w:t>
      </w:r>
      <w:proofErr w:type="spellEnd"/>
      <w:r>
        <w:rPr>
          <w:i/>
          <w:iCs/>
          <w:lang w:val="en-US"/>
        </w:rPr>
        <w:t xml:space="preserve"> </w:t>
      </w:r>
      <w:r>
        <w:rPr>
          <w:lang w:val="en-US"/>
        </w:rPr>
        <w:t>flower extract and singles bee honey (</w:t>
      </w:r>
      <w:proofErr w:type="spellStart"/>
      <w:r>
        <w:rPr>
          <w:i/>
          <w:iCs/>
          <w:lang w:val="en-US"/>
        </w:rPr>
        <w:t>Heterotrigona</w:t>
      </w:r>
      <w:proofErr w:type="spellEnd"/>
      <w:r>
        <w:rPr>
          <w:i/>
          <w:iCs/>
          <w:lang w:val="en-US"/>
        </w:rPr>
        <w:t xml:space="preserve"> </w:t>
      </w:r>
      <w:proofErr w:type="spellStart"/>
      <w:r>
        <w:rPr>
          <w:i/>
          <w:iCs/>
          <w:lang w:val="en-US"/>
        </w:rPr>
        <w:t>itama</w:t>
      </w:r>
      <w:proofErr w:type="spellEnd"/>
      <w:r>
        <w:rPr>
          <w:lang w:val="en-US"/>
        </w:rPr>
        <w:t xml:space="preserve">). </w:t>
      </w:r>
      <w:r>
        <w:rPr>
          <w:i/>
          <w:iCs/>
          <w:lang w:val="en-US"/>
        </w:rPr>
        <w:t xml:space="preserve">Preventive Nutrition and Food Science </w:t>
      </w:r>
      <w:r>
        <w:rPr>
          <w:lang w:val="en-US"/>
        </w:rPr>
        <w:t xml:space="preserve">29(4): 546-553. </w:t>
      </w:r>
      <w:hyperlink r:id="rId28" w:history="1">
        <w:r w:rsidRPr="007E1C5C">
          <w:rPr>
            <w:rStyle w:val="Hipervnculo"/>
            <w:lang w:val="en-US"/>
          </w:rPr>
          <w:t>https://doi.org/10.3746/pnf.2024.29.4.546</w:t>
        </w:r>
      </w:hyperlink>
    </w:p>
    <w:p w14:paraId="642362C2" w14:textId="1CBBED03" w:rsidR="00836DE2" w:rsidRPr="007E1C5C" w:rsidRDefault="00836DE2">
      <w:pPr>
        <w:rPr>
          <w:lang w:val="en-US"/>
        </w:rPr>
      </w:pPr>
      <w:r w:rsidRPr="00836DE2">
        <w:rPr>
          <w:lang w:val="en-US"/>
        </w:rPr>
        <w:t>Minkiewicz, P., Iwaniak, A., Darewic</w:t>
      </w:r>
      <w:r>
        <w:rPr>
          <w:lang w:val="en-US"/>
        </w:rPr>
        <w:t xml:space="preserve">z, M. (2019). </w:t>
      </w:r>
      <w:r w:rsidRPr="00836DE2">
        <w:rPr>
          <w:lang w:val="en-US"/>
        </w:rPr>
        <w:t xml:space="preserve">BIOPEP-UWM Database of </w:t>
      </w:r>
      <w:r>
        <w:rPr>
          <w:lang w:val="en-US"/>
        </w:rPr>
        <w:t xml:space="preserve">bioactive peptides: Curren opportunities. </w:t>
      </w:r>
      <w:r>
        <w:rPr>
          <w:i/>
          <w:iCs/>
          <w:lang w:val="en-US"/>
        </w:rPr>
        <w:t>International Journal of Molecular Sciences</w:t>
      </w:r>
      <w:r>
        <w:rPr>
          <w:lang w:val="en-US"/>
        </w:rPr>
        <w:t xml:space="preserve">, 20(3), 5978. </w:t>
      </w:r>
      <w:hyperlink r:id="rId29" w:history="1">
        <w:r w:rsidRPr="007E1C5C">
          <w:rPr>
            <w:rStyle w:val="Hipervnculo"/>
            <w:lang w:val="en-US"/>
          </w:rPr>
          <w:t>https://doi.org/10.3390/ijms20235978</w:t>
        </w:r>
      </w:hyperlink>
    </w:p>
    <w:p w14:paraId="59C5D0BF" w14:textId="3CC4C76D" w:rsidR="003E4A06" w:rsidRDefault="003E4A06">
      <w:pPr>
        <w:rPr>
          <w:lang w:val="en-US"/>
        </w:rPr>
      </w:pPr>
      <w:r w:rsidRPr="007E1C5C">
        <w:rPr>
          <w:lang w:val="en-US"/>
        </w:rPr>
        <w:t xml:space="preserve">Mituniewicz, A., Zielinska, D., Ziarno, M. (2019). </w:t>
      </w:r>
      <w:r w:rsidRPr="003E4A06">
        <w:rPr>
          <w:lang w:val="en-US"/>
        </w:rPr>
        <w:t>Probiotic monocultures in fermented g</w:t>
      </w:r>
      <w:r>
        <w:rPr>
          <w:lang w:val="en-US"/>
        </w:rPr>
        <w:t xml:space="preserve">oat milk beverages-sensory quality of final product. </w:t>
      </w:r>
      <w:r>
        <w:rPr>
          <w:i/>
          <w:iCs/>
          <w:lang w:val="en-US"/>
        </w:rPr>
        <w:t>International Journal of Dairy Technology</w:t>
      </w:r>
      <w:r>
        <w:rPr>
          <w:lang w:val="en-US"/>
        </w:rPr>
        <w:t>, 72(2), 240-247. https:/doi.org/10.1111/1471-0307.12576</w:t>
      </w:r>
    </w:p>
    <w:p w14:paraId="05103876" w14:textId="16BE511B" w:rsidR="00836DE2" w:rsidRPr="007E1C5C" w:rsidRDefault="00836DE2">
      <w:pPr>
        <w:rPr>
          <w:lang w:val="en-US"/>
        </w:rPr>
      </w:pPr>
      <w:r>
        <w:rPr>
          <w:lang w:val="en-US"/>
        </w:rPr>
        <w:t xml:space="preserve">Mooney, C., Haslam, N., </w:t>
      </w:r>
      <w:proofErr w:type="spellStart"/>
      <w:r>
        <w:rPr>
          <w:lang w:val="en-US"/>
        </w:rPr>
        <w:t>Pollastri</w:t>
      </w:r>
      <w:proofErr w:type="spellEnd"/>
      <w:r>
        <w:rPr>
          <w:lang w:val="en-US"/>
        </w:rPr>
        <w:t xml:space="preserve">, G., Shields, D. (2012). Towards the improved discovery and design of functional peptides: Common features of diverse classes permit generalized prediction of bioactivity. </w:t>
      </w:r>
      <w:proofErr w:type="spellStart"/>
      <w:r w:rsidRPr="007E1C5C">
        <w:rPr>
          <w:i/>
          <w:iCs/>
          <w:lang w:val="en-US"/>
        </w:rPr>
        <w:t>PLoS</w:t>
      </w:r>
      <w:proofErr w:type="spellEnd"/>
      <w:r w:rsidRPr="007E1C5C">
        <w:rPr>
          <w:i/>
          <w:iCs/>
          <w:lang w:val="en-US"/>
        </w:rPr>
        <w:t xml:space="preserve"> One</w:t>
      </w:r>
      <w:r w:rsidRPr="007E1C5C">
        <w:rPr>
          <w:lang w:val="en-US"/>
        </w:rPr>
        <w:t xml:space="preserve">, 7(10): e45012. </w:t>
      </w:r>
      <w:hyperlink r:id="rId30" w:history="1">
        <w:r w:rsidRPr="007E1C5C">
          <w:rPr>
            <w:rStyle w:val="Hipervnculo"/>
            <w:lang w:val="en-US"/>
          </w:rPr>
          <w:t>https://doi.org/10.1371/journal.pone.0045012</w:t>
        </w:r>
      </w:hyperlink>
    </w:p>
    <w:p w14:paraId="4E3EF447" w14:textId="0FDD73E8" w:rsidR="00F46A00" w:rsidRDefault="00F46A00">
      <w:pPr>
        <w:rPr>
          <w:lang w:val="en-US"/>
        </w:rPr>
      </w:pPr>
      <w:r>
        <w:rPr>
          <w:lang w:val="en-US"/>
        </w:rPr>
        <w:t xml:space="preserve">Nayik, G., Jagdale, Y., </w:t>
      </w:r>
      <w:proofErr w:type="spellStart"/>
      <w:r>
        <w:rPr>
          <w:lang w:val="en-US"/>
        </w:rPr>
        <w:t>Gaiwad</w:t>
      </w:r>
      <w:proofErr w:type="spellEnd"/>
      <w:r>
        <w:rPr>
          <w:lang w:val="en-US"/>
        </w:rPr>
        <w:t xml:space="preserve">, S., </w:t>
      </w:r>
      <w:proofErr w:type="spellStart"/>
      <w:r>
        <w:rPr>
          <w:lang w:val="en-US"/>
        </w:rPr>
        <w:t>Devkatte</w:t>
      </w:r>
      <w:proofErr w:type="spellEnd"/>
      <w:r>
        <w:rPr>
          <w:lang w:val="en-US"/>
        </w:rPr>
        <w:t xml:space="preserve">, A., Dar, A., Ansari, M. (2022). Nutritional profile, processing and potential products: A comparative review of goat milk. </w:t>
      </w:r>
      <w:r>
        <w:rPr>
          <w:i/>
          <w:iCs/>
          <w:lang w:val="en-US"/>
        </w:rPr>
        <w:t>Dairy</w:t>
      </w:r>
      <w:r>
        <w:rPr>
          <w:lang w:val="en-US"/>
        </w:rPr>
        <w:t xml:space="preserve">, 3(3): 622-647. </w:t>
      </w:r>
      <w:hyperlink r:id="rId31" w:history="1">
        <w:r w:rsidRPr="005B67D1">
          <w:rPr>
            <w:rStyle w:val="Hipervnculo"/>
            <w:lang w:val="en-US"/>
          </w:rPr>
          <w:t>https://doi.org/10.3390/dairy3030044</w:t>
        </w:r>
      </w:hyperlink>
    </w:p>
    <w:p w14:paraId="7AC94EFB" w14:textId="4EA5EB41" w:rsidR="00F46A00" w:rsidRDefault="00F46A00">
      <w:pPr>
        <w:rPr>
          <w:lang w:val="en-US"/>
        </w:rPr>
      </w:pPr>
      <w:r w:rsidRPr="00F46A00">
        <w:rPr>
          <w:lang w:val="en-US"/>
        </w:rPr>
        <w:t xml:space="preserve">Olsen, T., </w:t>
      </w:r>
      <w:proofErr w:type="spellStart"/>
      <w:r w:rsidRPr="00F46A00">
        <w:rPr>
          <w:lang w:val="en-US"/>
        </w:rPr>
        <w:t>Yesiltas</w:t>
      </w:r>
      <w:proofErr w:type="spellEnd"/>
      <w:r w:rsidRPr="00F46A00">
        <w:rPr>
          <w:lang w:val="en-US"/>
        </w:rPr>
        <w:t xml:space="preserve">, B., Marin, F., Pertseva, M., García P., Gregersen, S., Toft, M., Jacobson, C., Lund, O., Bech, E., </w:t>
      </w:r>
      <w:proofErr w:type="spellStart"/>
      <w:r w:rsidRPr="00F46A00">
        <w:rPr>
          <w:lang w:val="en-US"/>
        </w:rPr>
        <w:t>Marcat</w:t>
      </w:r>
      <w:r>
        <w:rPr>
          <w:lang w:val="en-US"/>
        </w:rPr>
        <w:t>ili</w:t>
      </w:r>
      <w:proofErr w:type="spellEnd"/>
      <w:r>
        <w:rPr>
          <w:lang w:val="en-US"/>
        </w:rPr>
        <w:t xml:space="preserve">, P. (2020). </w:t>
      </w:r>
      <w:proofErr w:type="spellStart"/>
      <w:r>
        <w:rPr>
          <w:lang w:val="en-US"/>
        </w:rPr>
        <w:t>AnOxPePred</w:t>
      </w:r>
      <w:proofErr w:type="spellEnd"/>
      <w:r>
        <w:rPr>
          <w:lang w:val="en-US"/>
        </w:rPr>
        <w:t xml:space="preserve">: Using deep learning for the prediction of antioxidative properties of peptides. </w:t>
      </w:r>
      <w:r>
        <w:rPr>
          <w:i/>
          <w:iCs/>
          <w:lang w:val="en-US"/>
        </w:rPr>
        <w:t>Scientific Reports</w:t>
      </w:r>
      <w:r>
        <w:rPr>
          <w:lang w:val="en-US"/>
        </w:rPr>
        <w:t xml:space="preserve">, 10: 21471. </w:t>
      </w:r>
      <w:hyperlink r:id="rId32" w:history="1">
        <w:r w:rsidRPr="005B67D1">
          <w:rPr>
            <w:rStyle w:val="Hipervnculo"/>
            <w:lang w:val="en-US"/>
          </w:rPr>
          <w:t>https://doi.org/10.1038/s41598-020-78319-w</w:t>
        </w:r>
      </w:hyperlink>
    </w:p>
    <w:p w14:paraId="7A8B0585" w14:textId="492A674A" w:rsidR="00FF6410" w:rsidRDefault="00FF6410">
      <w:pPr>
        <w:rPr>
          <w:lang w:val="en-US"/>
        </w:rPr>
      </w:pPr>
      <w:r w:rsidRPr="00F46A00">
        <w:rPr>
          <w:lang w:val="en-US"/>
        </w:rPr>
        <w:lastRenderedPageBreak/>
        <w:t xml:space="preserve">Öztürk, H., Kiran, F., Ekiz, M., </w:t>
      </w:r>
      <w:proofErr w:type="spellStart"/>
      <w:r w:rsidRPr="00F46A00">
        <w:rPr>
          <w:lang w:val="en-US"/>
        </w:rPr>
        <w:t>Celikbicak</w:t>
      </w:r>
      <w:proofErr w:type="spellEnd"/>
      <w:r w:rsidRPr="00F46A00">
        <w:rPr>
          <w:lang w:val="en-US"/>
        </w:rPr>
        <w:t xml:space="preserve">, O., </w:t>
      </w:r>
      <w:proofErr w:type="spellStart"/>
      <w:r w:rsidRPr="00F46A00">
        <w:rPr>
          <w:lang w:val="en-US"/>
        </w:rPr>
        <w:t>Ozturkoglu</w:t>
      </w:r>
      <w:proofErr w:type="spellEnd"/>
      <w:r w:rsidRPr="00F46A00">
        <w:rPr>
          <w:lang w:val="en-US"/>
        </w:rPr>
        <w:t xml:space="preserve">, S. (2026). </w:t>
      </w:r>
      <w:proofErr w:type="spellStart"/>
      <w:r>
        <w:rPr>
          <w:lang w:val="en-US"/>
        </w:rPr>
        <w:t>Peptidomic</w:t>
      </w:r>
      <w:proofErr w:type="spellEnd"/>
      <w:r>
        <w:rPr>
          <w:lang w:val="en-US"/>
        </w:rPr>
        <w:t xml:space="preserve"> characterization of &lt; 3 </w:t>
      </w:r>
      <w:proofErr w:type="spellStart"/>
      <w:r>
        <w:rPr>
          <w:lang w:val="en-US"/>
        </w:rPr>
        <w:t>kDa</w:t>
      </w:r>
      <w:proofErr w:type="spellEnd"/>
      <w:r>
        <w:rPr>
          <w:lang w:val="en-US"/>
        </w:rPr>
        <w:t xml:space="preserve"> peptides from milk fermented by lactic acid bacteria: Sequence-based antimicrobial prediction and </w:t>
      </w:r>
      <w:r>
        <w:rPr>
          <w:i/>
          <w:iCs/>
          <w:lang w:val="en-US"/>
        </w:rPr>
        <w:t xml:space="preserve">in vitro </w:t>
      </w:r>
      <w:r>
        <w:rPr>
          <w:lang w:val="en-US"/>
        </w:rPr>
        <w:t xml:space="preserve">immune-oncological evaluation. </w:t>
      </w:r>
      <w:r>
        <w:rPr>
          <w:i/>
          <w:iCs/>
          <w:lang w:val="en-US"/>
        </w:rPr>
        <w:t>Probiotics and Antimicrobial Proteins</w:t>
      </w:r>
      <w:r>
        <w:rPr>
          <w:lang w:val="en-US"/>
        </w:rPr>
        <w:t xml:space="preserve">. </w:t>
      </w:r>
      <w:hyperlink r:id="rId33" w:history="1">
        <w:r w:rsidR="00D5200D" w:rsidRPr="005B67D1">
          <w:rPr>
            <w:rStyle w:val="Hipervnculo"/>
            <w:lang w:val="en-US"/>
          </w:rPr>
          <w:t>https://doi.org/10.1007/s12602-026-10958-3</w:t>
        </w:r>
      </w:hyperlink>
    </w:p>
    <w:p w14:paraId="361843B2" w14:textId="0A7D0DE7" w:rsidR="00203CF0" w:rsidRDefault="00203CF0">
      <w:pPr>
        <w:rPr>
          <w:lang w:val="en-US"/>
        </w:rPr>
      </w:pPr>
      <w:r>
        <w:rPr>
          <w:lang w:val="en-US"/>
        </w:rPr>
        <w:t xml:space="preserve">Pandey, A., Lenin, R., </w:t>
      </w:r>
      <w:proofErr w:type="spellStart"/>
      <w:r>
        <w:rPr>
          <w:lang w:val="en-US"/>
        </w:rPr>
        <w:t>Patival</w:t>
      </w:r>
      <w:proofErr w:type="spellEnd"/>
      <w:r>
        <w:rPr>
          <w:lang w:val="en-US"/>
        </w:rPr>
        <w:t xml:space="preserve">, S., Agrawal, P. (2025). High throughput meta-analysis of antimicrobial peptides for characterizing class specific therapeutic candidates: An </w:t>
      </w:r>
      <w:proofErr w:type="gramStart"/>
      <w:r>
        <w:rPr>
          <w:i/>
          <w:iCs/>
          <w:lang w:val="en-US"/>
        </w:rPr>
        <w:t>in silico</w:t>
      </w:r>
      <w:proofErr w:type="gramEnd"/>
      <w:r>
        <w:rPr>
          <w:i/>
          <w:iCs/>
          <w:lang w:val="en-US"/>
        </w:rPr>
        <w:t xml:space="preserve"> </w:t>
      </w:r>
      <w:r>
        <w:rPr>
          <w:lang w:val="en-US"/>
        </w:rPr>
        <w:t xml:space="preserve">approach. </w:t>
      </w:r>
      <w:r>
        <w:rPr>
          <w:i/>
          <w:iCs/>
          <w:lang w:val="en-US"/>
        </w:rPr>
        <w:t>Probiotics and Antimicrobial Proteins</w:t>
      </w:r>
      <w:r>
        <w:rPr>
          <w:lang w:val="en-US"/>
        </w:rPr>
        <w:t xml:space="preserve">, 17, 2550-2570. </w:t>
      </w:r>
      <w:hyperlink r:id="rId34" w:history="1">
        <w:r w:rsidRPr="005B67D1">
          <w:rPr>
            <w:rStyle w:val="Hipervnculo"/>
            <w:lang w:val="en-US"/>
          </w:rPr>
          <w:t>https://doi.org/10.1007/s12602-025-10596-1</w:t>
        </w:r>
      </w:hyperlink>
    </w:p>
    <w:p w14:paraId="37E74805" w14:textId="6DB77D9B" w:rsidR="00836DE2" w:rsidRDefault="00836DE2">
      <w:pPr>
        <w:rPr>
          <w:lang w:val="en-US"/>
        </w:rPr>
      </w:pPr>
      <w:r>
        <w:rPr>
          <w:lang w:val="en-US"/>
        </w:rPr>
        <w:t xml:space="preserve">Rathore, A., Choudhury, S., Arora, A., Tijare, P., </w:t>
      </w:r>
      <w:proofErr w:type="spellStart"/>
      <w:r>
        <w:rPr>
          <w:lang w:val="en-US"/>
        </w:rPr>
        <w:t>Raghave</w:t>
      </w:r>
      <w:proofErr w:type="spellEnd"/>
      <w:r>
        <w:rPr>
          <w:lang w:val="en-US"/>
        </w:rPr>
        <w:t xml:space="preserve">, G. (2024). </w:t>
      </w:r>
      <w:proofErr w:type="spellStart"/>
      <w:r>
        <w:rPr>
          <w:lang w:val="en-US"/>
        </w:rPr>
        <w:t>ToxinPred</w:t>
      </w:r>
      <w:proofErr w:type="spellEnd"/>
      <w:r>
        <w:rPr>
          <w:lang w:val="en-US"/>
        </w:rPr>
        <w:t xml:space="preserve"> 3.0: An improved method for predicting the toxicity of to</w:t>
      </w:r>
      <w:r w:rsidR="00E61741">
        <w:rPr>
          <w:lang w:val="en-US"/>
        </w:rPr>
        <w:t xml:space="preserve">xicity of peptides. </w:t>
      </w:r>
      <w:r w:rsidR="00E61741">
        <w:rPr>
          <w:i/>
          <w:iCs/>
          <w:lang w:val="en-US"/>
        </w:rPr>
        <w:t>Computers in Biology and Medicine</w:t>
      </w:r>
      <w:r w:rsidR="00E61741">
        <w:rPr>
          <w:lang w:val="en-US"/>
        </w:rPr>
        <w:t xml:space="preserve">, 179: 108926. </w:t>
      </w:r>
      <w:hyperlink r:id="rId35" w:history="1">
        <w:r w:rsidR="00E61741" w:rsidRPr="005B67D1">
          <w:rPr>
            <w:rStyle w:val="Hipervnculo"/>
            <w:lang w:val="en-US"/>
          </w:rPr>
          <w:t>https://doi.org/10.1016/j.compbioned.2024.108926</w:t>
        </w:r>
      </w:hyperlink>
    </w:p>
    <w:p w14:paraId="7401C9E2" w14:textId="1E3A2698" w:rsidR="00390E53" w:rsidRDefault="00390E53">
      <w:pPr>
        <w:rPr>
          <w:lang w:val="en-US"/>
        </w:rPr>
      </w:pPr>
      <w:r>
        <w:rPr>
          <w:lang w:val="en-US"/>
        </w:rPr>
        <w:t xml:space="preserve">Roy, D., Ye, A., Moughan, P. Singh, H. (2020). Composition, structure, and digestive dynamics of milk from different species – A review. </w:t>
      </w:r>
      <w:r>
        <w:rPr>
          <w:i/>
          <w:iCs/>
          <w:lang w:val="en-US"/>
        </w:rPr>
        <w:t>Frontiers in Nutrition – Food Chemistry</w:t>
      </w:r>
      <w:r>
        <w:rPr>
          <w:lang w:val="en-US"/>
        </w:rPr>
        <w:t xml:space="preserve">, 7. </w:t>
      </w:r>
      <w:hyperlink r:id="rId36" w:history="1">
        <w:r w:rsidRPr="005B67D1">
          <w:rPr>
            <w:rStyle w:val="Hipervnculo"/>
            <w:lang w:val="en-US"/>
          </w:rPr>
          <w:t>https://doi.org/10.3389/fnut.2020.577759</w:t>
        </w:r>
      </w:hyperlink>
    </w:p>
    <w:p w14:paraId="3230546C" w14:textId="3EDB0955" w:rsidR="00F028CC" w:rsidRDefault="00F028CC">
      <w:pPr>
        <w:rPr>
          <w:lang w:val="en-US"/>
        </w:rPr>
      </w:pPr>
      <w:proofErr w:type="spellStart"/>
      <w:r>
        <w:rPr>
          <w:lang w:val="en-US"/>
        </w:rPr>
        <w:t>Sionek</w:t>
      </w:r>
      <w:proofErr w:type="spellEnd"/>
      <w:r>
        <w:rPr>
          <w:lang w:val="en-US"/>
        </w:rPr>
        <w:t xml:space="preserve">, B., Szydlowska, A., </w:t>
      </w:r>
      <w:proofErr w:type="spellStart"/>
      <w:r>
        <w:rPr>
          <w:lang w:val="en-US"/>
        </w:rPr>
        <w:t>Kücükgöz</w:t>
      </w:r>
      <w:proofErr w:type="spellEnd"/>
      <w:r>
        <w:rPr>
          <w:lang w:val="en-US"/>
        </w:rPr>
        <w:t xml:space="preserve">, K., </w:t>
      </w:r>
      <w:proofErr w:type="spellStart"/>
      <w:r>
        <w:rPr>
          <w:lang w:val="en-US"/>
        </w:rPr>
        <w:t>Kolozyn</w:t>
      </w:r>
      <w:proofErr w:type="spellEnd"/>
      <w:r>
        <w:rPr>
          <w:lang w:val="en-US"/>
        </w:rPr>
        <w:t xml:space="preserve">, D. (2023). Traditional and new microorganisms in lactic acid fermentation of food. </w:t>
      </w:r>
      <w:r>
        <w:rPr>
          <w:i/>
          <w:iCs/>
          <w:lang w:val="en-US"/>
        </w:rPr>
        <w:t xml:space="preserve">Fermentation </w:t>
      </w:r>
      <w:r>
        <w:rPr>
          <w:lang w:val="en-US"/>
        </w:rPr>
        <w:t>9(12), 1019. https:/doi.org/10.3390/fermentation9121019</w:t>
      </w:r>
    </w:p>
    <w:p w14:paraId="75B7275F" w14:textId="211D88DA" w:rsidR="00EA35AE" w:rsidRDefault="00EA35AE">
      <w:pPr>
        <w:rPr>
          <w:lang w:val="en-US"/>
        </w:rPr>
      </w:pPr>
      <w:r w:rsidRPr="007E1C5C">
        <w:rPr>
          <w:lang w:val="en-US"/>
        </w:rPr>
        <w:t xml:space="preserve">Tunick, M., Reyne, J., Garcia, R. (2025). </w:t>
      </w:r>
      <w:r w:rsidRPr="00EA35AE">
        <w:rPr>
          <w:lang w:val="en-US"/>
        </w:rPr>
        <w:t>Conversion of whey and o</w:t>
      </w:r>
      <w:r>
        <w:rPr>
          <w:lang w:val="en-US"/>
        </w:rPr>
        <w:t xml:space="preserve">ther dairy waste into antimicrobial and immunoregulatory compounds by fermentation. </w:t>
      </w:r>
      <w:r>
        <w:rPr>
          <w:i/>
          <w:iCs/>
          <w:lang w:val="en-US"/>
        </w:rPr>
        <w:t xml:space="preserve">Frontiers in Food Science and Technology </w:t>
      </w:r>
      <w:r>
        <w:rPr>
          <w:lang w:val="en-US"/>
        </w:rPr>
        <w:t xml:space="preserve">5. </w:t>
      </w:r>
      <w:hyperlink r:id="rId37" w:history="1">
        <w:r w:rsidRPr="005B67D1">
          <w:rPr>
            <w:rStyle w:val="Hipervnculo"/>
            <w:lang w:val="en-US"/>
          </w:rPr>
          <w:t>https://doi.org/10.3389/frfst.2025.1542284</w:t>
        </w:r>
      </w:hyperlink>
    </w:p>
    <w:p w14:paraId="3048364F" w14:textId="20D71115" w:rsidR="00F028CC" w:rsidRPr="007E1C5C" w:rsidRDefault="00F028CC">
      <w:pPr>
        <w:rPr>
          <w:lang w:val="en-US"/>
        </w:rPr>
      </w:pPr>
      <w:r>
        <w:rPr>
          <w:lang w:val="en-US"/>
        </w:rPr>
        <w:t xml:space="preserve">Wang, Y., Wu, J., Ly, M., Shao, Z., Hungwe, M., Wang, J., Bai, X., Xie, J., Wang, Y., Geng, W. (2021). Metabolism characteristics of lactic acid bacteria and the expanding application in food industry. </w:t>
      </w:r>
      <w:r>
        <w:rPr>
          <w:i/>
          <w:iCs/>
          <w:lang w:val="en-US"/>
        </w:rPr>
        <w:t xml:space="preserve">Frontiers in Bioengineering and Biotechnology </w:t>
      </w:r>
      <w:r>
        <w:rPr>
          <w:lang w:val="en-US"/>
        </w:rPr>
        <w:t xml:space="preserve">9: 612285. </w:t>
      </w:r>
      <w:hyperlink r:id="rId38" w:history="1">
        <w:r w:rsidRPr="007E1C5C">
          <w:rPr>
            <w:rStyle w:val="Hipervnculo"/>
            <w:lang w:val="en-US"/>
          </w:rPr>
          <w:t>https://doi.org/10.3389/fbioe.2021.612285</w:t>
        </w:r>
      </w:hyperlink>
    </w:p>
    <w:p w14:paraId="7F8DEDB8" w14:textId="62BBD5BE" w:rsidR="00B02BBB" w:rsidRPr="007E1C5C" w:rsidRDefault="00B02BBB">
      <w:pPr>
        <w:rPr>
          <w:lang w:val="en-US"/>
        </w:rPr>
      </w:pPr>
      <w:proofErr w:type="spellStart"/>
      <w:r w:rsidRPr="00B02BBB">
        <w:rPr>
          <w:lang w:val="en-US"/>
        </w:rPr>
        <w:t>Youngjin</w:t>
      </w:r>
      <w:proofErr w:type="spellEnd"/>
      <w:r w:rsidRPr="00B02BBB">
        <w:rPr>
          <w:lang w:val="en-US"/>
        </w:rPr>
        <w:t xml:space="preserve">, L., </w:t>
      </w:r>
      <w:proofErr w:type="spellStart"/>
      <w:r w:rsidRPr="00B02BBB">
        <w:rPr>
          <w:lang w:val="en-US"/>
        </w:rPr>
        <w:t>Yoom</w:t>
      </w:r>
      <w:proofErr w:type="spellEnd"/>
      <w:r w:rsidRPr="00B02BBB">
        <w:rPr>
          <w:lang w:val="en-US"/>
        </w:rPr>
        <w:t>, J., Woo</w:t>
      </w:r>
      <w:r>
        <w:rPr>
          <w:lang w:val="en-US"/>
        </w:rPr>
        <w:t xml:space="preserve">, J., Tae, K., Minn, S. Yu, J., Jee, I. (2024). </w:t>
      </w:r>
      <w:r w:rsidR="00BB08A0" w:rsidRPr="00BB08A0">
        <w:rPr>
          <w:i/>
          <w:iCs/>
          <w:lang w:val="en-US"/>
        </w:rPr>
        <w:t>L.</w:t>
      </w:r>
      <w:r w:rsidR="0039627B" w:rsidRPr="0039627B">
        <w:rPr>
          <w:i/>
          <w:iCs/>
          <w:lang w:val="en-US"/>
        </w:rPr>
        <w:t xml:space="preserve"> plantarum </w:t>
      </w:r>
      <w:r w:rsidR="0039627B" w:rsidRPr="0039627B">
        <w:rPr>
          <w:lang w:val="en-US"/>
        </w:rPr>
        <w:t>LM1001 improves digestibility of branched-ch</w:t>
      </w:r>
      <w:r w:rsidR="0039627B">
        <w:rPr>
          <w:lang w:val="en-US"/>
        </w:rPr>
        <w:t xml:space="preserve">ain amino acids in whey proteins and promotes myogenesis in C2C12 myotubes. </w:t>
      </w:r>
      <w:r w:rsidR="0039627B">
        <w:rPr>
          <w:i/>
          <w:iCs/>
          <w:lang w:val="en-US"/>
        </w:rPr>
        <w:t>Food Science of Animal Resources</w:t>
      </w:r>
      <w:r w:rsidR="0039627B">
        <w:rPr>
          <w:lang w:val="en-US"/>
        </w:rPr>
        <w:t xml:space="preserve">, 44(4): 951-965. </w:t>
      </w:r>
      <w:hyperlink r:id="rId39" w:history="1">
        <w:r w:rsidR="0039627B" w:rsidRPr="007E1C5C">
          <w:rPr>
            <w:rStyle w:val="Hipervnculo"/>
            <w:lang w:val="en-US"/>
          </w:rPr>
          <w:t>https://doi.org/10.5851/kosfa.2024.e38</w:t>
        </w:r>
      </w:hyperlink>
    </w:p>
    <w:p w14:paraId="2AE14DB6" w14:textId="5EC67BF2" w:rsidR="00F028CC" w:rsidRDefault="009A2B5A">
      <w:pPr>
        <w:rPr>
          <w:lang w:val="en-US"/>
        </w:rPr>
      </w:pPr>
      <w:r w:rsidRPr="007E1C5C">
        <w:rPr>
          <w:lang w:val="en-US"/>
        </w:rPr>
        <w:t xml:space="preserve">Zotta, T., Ricciardi, A., Parente, E. (2007). </w:t>
      </w:r>
      <w:r w:rsidRPr="009A2B5A">
        <w:rPr>
          <w:lang w:val="en-US"/>
        </w:rPr>
        <w:t>Enzymatic activities of lactic a</w:t>
      </w:r>
      <w:r>
        <w:rPr>
          <w:lang w:val="en-US"/>
        </w:rPr>
        <w:t xml:space="preserve">cid bacteria isolated from Cornetto di Matera sourdoughs. </w:t>
      </w:r>
      <w:r>
        <w:rPr>
          <w:i/>
          <w:iCs/>
          <w:lang w:val="en-US"/>
        </w:rPr>
        <w:t>International Journal of Food Microbiology</w:t>
      </w:r>
      <w:r>
        <w:rPr>
          <w:lang w:val="en-US"/>
        </w:rPr>
        <w:t xml:space="preserve">, 115(2), 165-172. </w:t>
      </w:r>
      <w:hyperlink r:id="rId40" w:history="1">
        <w:r w:rsidRPr="00FF200C">
          <w:rPr>
            <w:rStyle w:val="Hipervnculo"/>
            <w:lang w:val="en-US"/>
          </w:rPr>
          <w:t>https://doi.org/10.1016/j.ijfoodmicro.2006.10.026</w:t>
        </w:r>
      </w:hyperlink>
    </w:p>
    <w:p w14:paraId="0000001F" w14:textId="77777777" w:rsidR="00AF3F97" w:rsidRPr="009A2B5A" w:rsidRDefault="00AF3F97">
      <w:pPr>
        <w:rPr>
          <w:lang w:val="en-US"/>
        </w:rPr>
      </w:pPr>
      <w:bookmarkStart w:id="0" w:name="_heading=h.8ax94kioly03" w:colFirst="0" w:colLast="0"/>
      <w:bookmarkEnd w:id="0"/>
    </w:p>
    <w:sectPr w:rsidR="00AF3F97" w:rsidRPr="009A2B5A">
      <w:footerReference w:type="default" r:id="rId41"/>
      <w:pgSz w:w="11906" w:h="16838"/>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CA4B2" w14:textId="77777777" w:rsidR="00B83EA9" w:rsidRDefault="00B83EA9">
      <w:pPr>
        <w:spacing w:after="0" w:line="240" w:lineRule="auto"/>
      </w:pPr>
      <w:r>
        <w:separator/>
      </w:r>
    </w:p>
  </w:endnote>
  <w:endnote w:type="continuationSeparator" w:id="0">
    <w:p w14:paraId="0CDFEC66" w14:textId="77777777" w:rsidR="00B83EA9" w:rsidRDefault="00B83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B715350-E0B1-497E-88DB-0B5379BB65DD}"/>
  </w:font>
  <w:font w:name="Cambria">
    <w:panose1 w:val="02040503050406030204"/>
    <w:charset w:val="00"/>
    <w:family w:val="roman"/>
    <w:pitch w:val="variable"/>
    <w:sig w:usb0="E00006FF" w:usb1="420024FF" w:usb2="02000000" w:usb3="00000000" w:csb0="0000019F" w:csb1="00000000"/>
    <w:embedRegular r:id="rId2" w:fontKey="{AED23B64-A06E-4A19-8969-CA2DF7A743C9}"/>
    <w:embedBold r:id="rId3" w:fontKey="{E62A6499-9044-46B9-9150-945E5913E0C3}"/>
  </w:font>
  <w:font w:name="Calibri">
    <w:panose1 w:val="020F0502020204030204"/>
    <w:charset w:val="00"/>
    <w:family w:val="swiss"/>
    <w:pitch w:val="variable"/>
    <w:sig w:usb0="E4002EFF" w:usb1="C200247B" w:usb2="00000009" w:usb3="00000000" w:csb0="000001FF" w:csb1="00000000"/>
    <w:embedRegular r:id="rId4" w:fontKey="{3FBB6590-B6E5-4C98-94C0-6546F93F80FF}"/>
    <w:embedBold r:id="rId5" w:fontKey="{FB6862F6-8604-4C0C-8282-8D122894C730}"/>
    <w:embedItalic r:id="rId6" w:fontKey="{625055E9-CE01-4043-AC0D-80557154A9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0" w14:textId="5815D8B8" w:rsidR="00AF3F97" w:rsidRDefault="00000000">
    <w:pPr>
      <w:pBdr>
        <w:top w:val="nil"/>
        <w:left w:val="nil"/>
        <w:bottom w:val="nil"/>
        <w:right w:val="nil"/>
        <w:between w:val="nil"/>
      </w:pBdr>
      <w:tabs>
        <w:tab w:val="center" w:pos="4252"/>
        <w:tab w:val="right" w:pos="8504"/>
      </w:tabs>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446097">
      <w:rPr>
        <w:noProof/>
        <w:color w:val="000000"/>
        <w:sz w:val="20"/>
        <w:szCs w:val="20"/>
      </w:rPr>
      <w:t>1</w:t>
    </w:r>
    <w:r>
      <w:rPr>
        <w:color w:val="000000"/>
        <w:sz w:val="20"/>
        <w:szCs w:val="20"/>
      </w:rPr>
      <w:fldChar w:fldCharType="end"/>
    </w:r>
  </w:p>
  <w:p w14:paraId="00000021" w14:textId="77777777" w:rsidR="00AF3F97" w:rsidRDefault="00AF3F9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DBE8F" w14:textId="77777777" w:rsidR="00B83EA9" w:rsidRDefault="00B83EA9">
      <w:pPr>
        <w:spacing w:after="0" w:line="240" w:lineRule="auto"/>
      </w:pPr>
      <w:r>
        <w:separator/>
      </w:r>
    </w:p>
  </w:footnote>
  <w:footnote w:type="continuationSeparator" w:id="0">
    <w:p w14:paraId="6422EAA3" w14:textId="77777777" w:rsidR="00B83EA9" w:rsidRDefault="00B83E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E320B"/>
    <w:multiLevelType w:val="multilevel"/>
    <w:tmpl w:val="FDF09A48"/>
    <w:lvl w:ilvl="0">
      <w:start w:val="1"/>
      <w:numFmt w:val="decimal"/>
      <w:lvlText w:val="%1."/>
      <w:lvlJc w:val="left"/>
      <w:pPr>
        <w:ind w:left="720" w:hanging="360"/>
      </w:pPr>
      <w:rPr>
        <w:sz w:val="2"/>
        <w:szCs w:val="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134065E"/>
    <w:multiLevelType w:val="multilevel"/>
    <w:tmpl w:val="FDF09A48"/>
    <w:lvl w:ilvl="0">
      <w:start w:val="1"/>
      <w:numFmt w:val="decimal"/>
      <w:lvlText w:val="%1."/>
      <w:lvlJc w:val="left"/>
      <w:pPr>
        <w:ind w:left="720" w:hanging="360"/>
      </w:pPr>
      <w:rPr>
        <w:sz w:val="2"/>
        <w:szCs w:val="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D621421"/>
    <w:multiLevelType w:val="multilevel"/>
    <w:tmpl w:val="FDF09A48"/>
    <w:lvl w:ilvl="0">
      <w:start w:val="1"/>
      <w:numFmt w:val="decimal"/>
      <w:lvlText w:val="%1."/>
      <w:lvlJc w:val="left"/>
      <w:pPr>
        <w:ind w:left="720" w:hanging="360"/>
      </w:pPr>
      <w:rPr>
        <w:sz w:val="2"/>
        <w:szCs w:val="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56931339">
    <w:abstractNumId w:val="1"/>
  </w:num>
  <w:num w:numId="2" w16cid:durableId="1977296482">
    <w:abstractNumId w:val="2"/>
  </w:num>
  <w:num w:numId="3" w16cid:durableId="11187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97"/>
    <w:rsid w:val="000C498F"/>
    <w:rsid w:val="000E04A5"/>
    <w:rsid w:val="00152E8F"/>
    <w:rsid w:val="00153FBC"/>
    <w:rsid w:val="001C4853"/>
    <w:rsid w:val="00203CF0"/>
    <w:rsid w:val="0028566F"/>
    <w:rsid w:val="002949EE"/>
    <w:rsid w:val="002A6FB3"/>
    <w:rsid w:val="002D0C05"/>
    <w:rsid w:val="00313E98"/>
    <w:rsid w:val="0037104E"/>
    <w:rsid w:val="00390E53"/>
    <w:rsid w:val="0039627B"/>
    <w:rsid w:val="003A67AE"/>
    <w:rsid w:val="003B4219"/>
    <w:rsid w:val="003C024A"/>
    <w:rsid w:val="003E4A06"/>
    <w:rsid w:val="003F0342"/>
    <w:rsid w:val="004057D0"/>
    <w:rsid w:val="00446097"/>
    <w:rsid w:val="005022E6"/>
    <w:rsid w:val="00547331"/>
    <w:rsid w:val="00567726"/>
    <w:rsid w:val="005703CE"/>
    <w:rsid w:val="00575F00"/>
    <w:rsid w:val="00576122"/>
    <w:rsid w:val="005F6D4B"/>
    <w:rsid w:val="006729C3"/>
    <w:rsid w:val="006B77A1"/>
    <w:rsid w:val="006D6AD2"/>
    <w:rsid w:val="007E1C5C"/>
    <w:rsid w:val="00836DE2"/>
    <w:rsid w:val="008819A9"/>
    <w:rsid w:val="008925D9"/>
    <w:rsid w:val="008A5661"/>
    <w:rsid w:val="008B6DE2"/>
    <w:rsid w:val="008E12A1"/>
    <w:rsid w:val="00931386"/>
    <w:rsid w:val="00942ACD"/>
    <w:rsid w:val="009A2B5A"/>
    <w:rsid w:val="00A3557D"/>
    <w:rsid w:val="00AA07B7"/>
    <w:rsid w:val="00AF3F97"/>
    <w:rsid w:val="00B02BBB"/>
    <w:rsid w:val="00B0525A"/>
    <w:rsid w:val="00B128D5"/>
    <w:rsid w:val="00B23AC4"/>
    <w:rsid w:val="00B52F17"/>
    <w:rsid w:val="00B57E4D"/>
    <w:rsid w:val="00B83EA9"/>
    <w:rsid w:val="00BB08A0"/>
    <w:rsid w:val="00BE24C9"/>
    <w:rsid w:val="00C52062"/>
    <w:rsid w:val="00D2115E"/>
    <w:rsid w:val="00D37957"/>
    <w:rsid w:val="00D50229"/>
    <w:rsid w:val="00D5200D"/>
    <w:rsid w:val="00D535C3"/>
    <w:rsid w:val="00D73545"/>
    <w:rsid w:val="00E42D19"/>
    <w:rsid w:val="00E61741"/>
    <w:rsid w:val="00EA35AE"/>
    <w:rsid w:val="00F028CC"/>
    <w:rsid w:val="00F4030F"/>
    <w:rsid w:val="00F46A00"/>
    <w:rsid w:val="00FF077C"/>
    <w:rsid w:val="00FF641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5B57A"/>
  <w15:docId w15:val="{841CE598-1500-4B43-BC59-36950806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AR" w:eastAsia="es-AR"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jc w:val="right"/>
      <w:outlineLvl w:val="0"/>
    </w:p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ipervnculo">
    <w:name w:val="Hyperlink"/>
    <w:basedOn w:val="Fuentedeprrafopredeter"/>
    <w:uiPriority w:val="99"/>
    <w:unhideWhenUsed/>
    <w:rsid w:val="00446097"/>
    <w:rPr>
      <w:color w:val="0000FF" w:themeColor="hyperlink"/>
      <w:u w:val="single"/>
    </w:rPr>
  </w:style>
  <w:style w:type="character" w:styleId="Mencinsinresolver">
    <w:name w:val="Unresolved Mention"/>
    <w:basedOn w:val="Fuentedeprrafopredeter"/>
    <w:uiPriority w:val="99"/>
    <w:semiHidden/>
    <w:unhideWhenUsed/>
    <w:rsid w:val="00446097"/>
    <w:rPr>
      <w:color w:val="605E5C"/>
      <w:shd w:val="clear" w:color="auto" w:fill="E1DFDD"/>
    </w:rPr>
  </w:style>
  <w:style w:type="paragraph" w:styleId="Prrafodelista">
    <w:name w:val="List Paragraph"/>
    <w:basedOn w:val="Normal"/>
    <w:uiPriority w:val="34"/>
    <w:qFormat/>
    <w:rsid w:val="008E12A1"/>
    <w:pPr>
      <w:ind w:left="720"/>
      <w:contextualSpacing/>
    </w:pPr>
  </w:style>
  <w:style w:type="table" w:styleId="Tablaconcuadrcula">
    <w:name w:val="Table Grid"/>
    <w:basedOn w:val="Tablanormal"/>
    <w:uiPriority w:val="39"/>
    <w:rsid w:val="001C4853"/>
    <w:pPr>
      <w:spacing w:after="0" w:line="240" w:lineRule="auto"/>
      <w:jc w:val="left"/>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ebs.iiitd.edu.in/raghava/anticp2/" TargetMode="External"/><Relationship Id="rId18" Type="http://schemas.openxmlformats.org/officeDocument/2006/relationships/hyperlink" Target="https://doi.org/10.2174/0929866524666161123111333" TargetMode="External"/><Relationship Id="rId26" Type="http://schemas.openxmlformats.org/officeDocument/2006/relationships/hyperlink" Target="https://doi.org/10.1039/c8fo00535d" TargetMode="External"/><Relationship Id="rId39" Type="http://schemas.openxmlformats.org/officeDocument/2006/relationships/hyperlink" Target="https://doi.org/10.5851/kosfa.2024.e38" TargetMode="External"/><Relationship Id="rId21" Type="http://schemas.openxmlformats.org/officeDocument/2006/relationships/hyperlink" Target="https://doi.org/10.1039/d1fo00492a" TargetMode="External"/><Relationship Id="rId34" Type="http://schemas.openxmlformats.org/officeDocument/2006/relationships/hyperlink" Target="https://doi.org/10.1007/s12602-025-10596-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93/bib/bbaa153" TargetMode="External"/><Relationship Id="rId20" Type="http://schemas.openxmlformats.org/officeDocument/2006/relationships/hyperlink" Target="https://producci&#243;n-animal.com.ar/produccion_caprina/produccion_caprina/175-manejo_oeste_santiagueno.pdf" TargetMode="External"/><Relationship Id="rId29" Type="http://schemas.openxmlformats.org/officeDocument/2006/relationships/hyperlink" Target="https://doi.org/10.3390/ijms20235978"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s.iiitd.edu.in/raghava/toxinpred3/prediction.php" TargetMode="External"/><Relationship Id="rId24" Type="http://schemas.openxmlformats.org/officeDocument/2006/relationships/hyperlink" Target="https://doi.org/10.3389/fgene.2019.00129" TargetMode="External"/><Relationship Id="rId32" Type="http://schemas.openxmlformats.org/officeDocument/2006/relationships/hyperlink" Target="https://doi.org/10.1038/s41598-020-78319-w" TargetMode="External"/><Relationship Id="rId37" Type="http://schemas.openxmlformats.org/officeDocument/2006/relationships/hyperlink" Target="https://doi.org/10.3389/frfst.2025.1542284" TargetMode="External"/><Relationship Id="rId40" Type="http://schemas.openxmlformats.org/officeDocument/2006/relationships/hyperlink" Target="https://doi.org/10.1016/j.ijfoodmicro.2006.10.026" TargetMode="External"/><Relationship Id="rId5" Type="http://schemas.openxmlformats.org/officeDocument/2006/relationships/webSettings" Target="webSettings.xml"/><Relationship Id="rId15" Type="http://schemas.openxmlformats.org/officeDocument/2006/relationships/hyperlink" Target="https://services.healthtech.dtu.dk/services/AnOxPePred-1.0/" TargetMode="External"/><Relationship Id="rId23" Type="http://schemas.openxmlformats.org/officeDocument/2006/relationships/hyperlink" Target="https://doi.org/10.1093/nar/gkac933" TargetMode="External"/><Relationship Id="rId28" Type="http://schemas.openxmlformats.org/officeDocument/2006/relationships/hyperlink" Target="https://doi.org/10.3746/pnf.2024.29.4.546" TargetMode="External"/><Relationship Id="rId36" Type="http://schemas.openxmlformats.org/officeDocument/2006/relationships/hyperlink" Target="https://doi.org/10.3389/fnut.2020.577759" TargetMode="External"/><Relationship Id="rId10" Type="http://schemas.openxmlformats.org/officeDocument/2006/relationships/hyperlink" Target="https://peptide.ucd.ie/peptideranker" TargetMode="External"/><Relationship Id="rId19" Type="http://schemas.openxmlformats.org/officeDocument/2006/relationships/hyperlink" Target="https://doi.org/10.1016/j.foodchem.2021.131936" TargetMode="External"/><Relationship Id="rId31" Type="http://schemas.openxmlformats.org/officeDocument/2006/relationships/hyperlink" Target="https://doi.org/10.3390/dairy3030044" TargetMode="External"/><Relationship Id="rId4" Type="http://schemas.openxmlformats.org/officeDocument/2006/relationships/settings" Target="settings.xml"/><Relationship Id="rId9" Type="http://schemas.openxmlformats.org/officeDocument/2006/relationships/hyperlink" Target="https://biochemia.uwm.edu.pI/biopep/peptide_data.php" TargetMode="External"/><Relationship Id="rId14" Type="http://schemas.openxmlformats.org/officeDocument/2006/relationships/hyperlink" Target="https://kurata14.bio.kyutech.ac.jp/PreAIP/" TargetMode="External"/><Relationship Id="rId22" Type="http://schemas.openxmlformats.org/officeDocument/2006/relationships/hyperlink" Target="https://scielo.org.co/scielo.php?pid=S1692-3561201300010017&amp;script=sci_arttext&amp;lng=es" TargetMode="External"/><Relationship Id="rId27" Type="http://schemas.openxmlformats.org/officeDocument/2006/relationships/hyperlink" Target="https://doi.org/10.3390/nu12061679" TargetMode="External"/><Relationship Id="rId30" Type="http://schemas.openxmlformats.org/officeDocument/2006/relationships/hyperlink" Target="https://doi.org/10.1371/journal.pone.0045012" TargetMode="External"/><Relationship Id="rId35" Type="http://schemas.openxmlformats.org/officeDocument/2006/relationships/hyperlink" Target="https://doi.org/10.1016/j.compbioned.2024.108926" TargetMode="External"/><Relationship Id="rId43" Type="http://schemas.openxmlformats.org/officeDocument/2006/relationships/theme" Target="theme/theme1.xml"/><Relationship Id="rId8" Type="http://schemas.openxmlformats.org/officeDocument/2006/relationships/hyperlink" Target="https://web.expasy.org/findpept/" TargetMode="External"/><Relationship Id="rId3" Type="http://schemas.openxmlformats.org/officeDocument/2006/relationships/styles" Target="styles.xml"/><Relationship Id="rId12" Type="http://schemas.openxmlformats.org/officeDocument/2006/relationships/hyperlink" Target="https://camp.bicnirrh.res.in" TargetMode="External"/><Relationship Id="rId17" Type="http://schemas.openxmlformats.org/officeDocument/2006/relationships/hyperlink" Target="https://doi.org/10.3390/molecules28093696" TargetMode="External"/><Relationship Id="rId25" Type="http://schemas.openxmlformats.org/officeDocument/2006/relationships/hyperlink" Target="https://doi.org/10.1016/j.cofs.2021.11.013" TargetMode="External"/><Relationship Id="rId33" Type="http://schemas.openxmlformats.org/officeDocument/2006/relationships/hyperlink" Target="https://doi.org/10.1007/s12602-026-10958-3" TargetMode="External"/><Relationship Id="rId38" Type="http://schemas.openxmlformats.org/officeDocument/2006/relationships/hyperlink" Target="https://doi.org/10.3389/fbioe.2021.61228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Yd93UvyqfUwXRu1dXn/IeGaQrg==">CgMxLjAyDmgucmc5amRtbmgyM3JiMg5oLjhheDk0a2lvbHkwMzgAciExcW56NDdvU1BmMGhHSm5pWDZHdHZBZGR0LVRkVHFMdjY=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15</Pages>
  <Words>5763</Words>
  <Characters>31701</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Carol</dc:creator>
  <cp:keywords/>
  <dc:description/>
  <cp:lastModifiedBy>Juan Carol</cp:lastModifiedBy>
  <cp:revision>39</cp:revision>
  <dcterms:created xsi:type="dcterms:W3CDTF">2026-08-04T22:57:00Z</dcterms:created>
  <dcterms:modified xsi:type="dcterms:W3CDTF">2026-08-19T12:33:00Z</dcterms:modified>
</cp:coreProperties>
</file>