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C367B" w14:textId="77777777" w:rsidR="0048738B" w:rsidRPr="0035134A" w:rsidRDefault="000D318D">
      <w:pPr>
        <w:jc w:val="center"/>
      </w:pPr>
      <w:r w:rsidRPr="0035134A">
        <w:rPr>
          <w:b/>
          <w:color w:val="000000"/>
        </w:rPr>
        <w:t>AGUA SEGURA, ARSÉNICO E INFRAESTRUCTURA HÍDRICA EN MARÍA ELENA Y COLONIA RASQUÍN: EVALUACIÓN SOCIOAMBIENTAL DESDE EL GRAN CHACO SANTIAGUEÑO.</w:t>
      </w:r>
    </w:p>
    <w:p w14:paraId="4CB2E4E0" w14:textId="77777777" w:rsidR="0048738B" w:rsidRPr="0035134A" w:rsidRDefault="000D318D" w:rsidP="008A6F9A">
      <w:pPr>
        <w:spacing w:after="40"/>
        <w:jc w:val="right"/>
      </w:pPr>
      <w:r w:rsidRPr="0035134A">
        <w:rPr>
          <w:color w:val="000000"/>
        </w:rPr>
        <w:t>Eje temático: Eje 1. Gestión de bienes naturales y servicios ecosistémicos, restauración ecológica y sostenibilidad ambiental en el Gran Chaco Americano.</w:t>
      </w:r>
    </w:p>
    <w:p w14:paraId="06033733" w14:textId="77777777" w:rsidR="008A6F9A" w:rsidRPr="0035134A" w:rsidRDefault="008A6F9A">
      <w:pPr>
        <w:spacing w:after="0"/>
        <w:jc w:val="right"/>
      </w:pPr>
      <w:r>
        <w:rPr>
          <w:color w:val="000000"/>
        </w:rPr>
        <w:t>Vera, María de los Ángeles; Ramírez, Antonio Emilio; Falcón, Carlos Martín; Marozzi, Marcos Raúl; Carrizo, Carlos César; Trejo, Walter Mario.</w:t>
      </w:r>
    </w:p>
    <w:p w14:paraId="4469607D" w14:textId="77777777" w:rsidR="0048738B" w:rsidRPr="0035134A" w:rsidRDefault="000D318D">
      <w:pPr>
        <w:spacing w:after="40"/>
        <w:jc w:val="right"/>
      </w:pPr>
      <w:r w:rsidRPr="0035134A">
        <w:rPr>
          <w:color w:val="000000"/>
        </w:rPr>
        <w:t>Universidad Nacional de Santiago del Estero (UNSE)</w:t>
      </w:r>
    </w:p>
    <w:p w14:paraId="19A787C2" w14:textId="77777777" w:rsidR="0048738B" w:rsidRPr="0035134A" w:rsidRDefault="000D318D">
      <w:pPr>
        <w:spacing w:after="40"/>
        <w:jc w:val="right"/>
      </w:pPr>
      <w:r w:rsidRPr="0035134A">
        <w:rPr>
          <w:color w:val="000000"/>
        </w:rPr>
        <w:t>Departamento Académico de Geología y Geotecnia, Facultad de Ciencias Exactas y Tecnologías</w:t>
      </w:r>
    </w:p>
    <w:p w14:paraId="4B0FE9FA" w14:textId="77777777" w:rsidR="0048738B" w:rsidRPr="0035134A" w:rsidRDefault="000D318D">
      <w:pPr>
        <w:spacing w:after="40"/>
        <w:jc w:val="right"/>
      </w:pPr>
      <w:r w:rsidRPr="0035134A">
        <w:rPr>
          <w:color w:val="000000"/>
        </w:rPr>
        <w:t>Argentina, Santiago del Estero, Santiago del Estero</w:t>
      </w:r>
    </w:p>
    <w:p w14:paraId="3C90071E" w14:textId="77777777" w:rsidR="0048738B" w:rsidRPr="0035134A" w:rsidRDefault="000D318D">
      <w:pPr>
        <w:spacing w:before="240" w:after="120"/>
        <w:jc w:val="right"/>
      </w:pPr>
      <w:r w:rsidRPr="0035134A">
        <w:rPr>
          <w:color w:val="000000"/>
        </w:rPr>
        <w:t>Av. Belgrano (S) 1912, CP 4200</w:t>
      </w:r>
    </w:p>
    <w:p w14:paraId="7C6DE7EE" w14:textId="77777777" w:rsidR="0048738B" w:rsidRPr="0035134A" w:rsidRDefault="000D318D">
      <w:pPr>
        <w:spacing w:after="120"/>
        <w:jc w:val="right"/>
      </w:pPr>
      <w:r w:rsidRPr="0035134A">
        <w:rPr>
          <w:color w:val="000000"/>
        </w:rPr>
        <w:t>Correo electrónico: mariavera1674@gmail.com</w:t>
      </w:r>
    </w:p>
    <w:p w14:paraId="1F679418" w14:textId="77777777" w:rsidR="0048738B" w:rsidRPr="0035134A" w:rsidRDefault="000D318D">
      <w:pPr>
        <w:spacing w:before="120" w:after="0"/>
      </w:pPr>
      <w:r w:rsidRPr="0035134A">
        <w:rPr>
          <w:b/>
          <w:color w:val="000000"/>
        </w:rPr>
        <w:t>Resumen</w:t>
      </w:r>
    </w:p>
    <w:p w14:paraId="63A90F4B" w14:textId="77777777" w:rsidR="0048738B" w:rsidRPr="0035134A" w:rsidRDefault="000D318D">
      <w:pPr>
        <w:jc w:val="both"/>
      </w:pPr>
      <w:r w:rsidRPr="0035134A">
        <w:rPr>
          <w:color w:val="000000"/>
        </w:rPr>
        <w:t>Las localidades de María Elena y Colonia Rasquín, ubicadas en el departamento Banda, Santiago del Estero, presentan antecedentes históricos de presencia natural de arsénico en aguas subterráneas, asociada a condiciones geológicas e hidrogeoquímicas del Cono Aluvial del río Dulce. Esta problemática configuró durante décadas un riesgo sanitario y socioambiental vinculado al hidroarsenicismo crónico regional endémico y al abastecimiento mediante fuentes someras. En este contexto, el presente estudio analiza el impacto histórico y actual de las obras de infraestructura hídrica implementadas para mejorar el acceso al agua segura, integrando dimensiones técnicas, sanitarias, sociales y comunitarias. La metodología contempla revisión de antecedentes, censo y georreferenciación de fuentes de abastecimiento, relevamiento poblacional, análisis de percepción comunitaria, reconstrucción de memoria oral y evaluación de la sostenibilidad operativa de las obras. Los avances permiten reconocer que la provisión de agua segura constituye un factor decisivo para reducir riesgos sanitarios, fortalecer la calidad de vida y promover prácticas comunitarias sustentables. Se destaca la necesidad de sostener el monitoreo, la educación ambiental y la gestión local del recurso hídrico.</w:t>
      </w:r>
    </w:p>
    <w:p w14:paraId="67BCA163" w14:textId="77777777" w:rsidR="0048738B" w:rsidRPr="0035134A" w:rsidRDefault="000D318D">
      <w:pPr>
        <w:jc w:val="both"/>
      </w:pPr>
      <w:r w:rsidRPr="0035134A">
        <w:rPr>
          <w:color w:val="000000"/>
        </w:rPr>
        <w:t>Palabras clave: Arsénico, Agua Segura, Sostenibilidad.</w:t>
      </w:r>
    </w:p>
    <w:p w14:paraId="4A883772" w14:textId="77777777" w:rsidR="0048738B" w:rsidRPr="0035134A" w:rsidRDefault="000D318D">
      <w:pPr>
        <w:spacing w:before="120" w:after="0"/>
      </w:pPr>
      <w:r w:rsidRPr="0035134A">
        <w:rPr>
          <w:b/>
          <w:color w:val="000000"/>
        </w:rPr>
        <w:t>1. Introducción</w:t>
      </w:r>
    </w:p>
    <w:p w14:paraId="66C3DA24" w14:textId="77777777" w:rsidR="0035134A" w:rsidRPr="0035134A" w:rsidRDefault="0035134A" w:rsidP="0035134A">
      <w:pPr>
        <w:spacing w:after="120"/>
        <w:ind w:firstLine="425"/>
        <w:jc w:val="both"/>
      </w:pPr>
      <w:r>
        <w:rPr>
          <w:color w:val="000000"/>
        </w:rPr>
        <w:lastRenderedPageBreak/>
        <w:t xml:space="preserve">   </w:t>
      </w:r>
      <w:r w:rsidRPr="0035134A">
        <w:rPr>
          <w:color w:val="000000"/>
        </w:rPr>
        <w:t>El arsénico en aguas subterráneas constituye una de las problemáticas hidroambientales más relevantes de la llanura Chaco-Pampeana argentina. Su presencia, frecuentemente de origen geogénico, se asocia a procesos de interacción agua-sedimento, disolución de materiales volcánicos, condiciones hidrogeoquímicas particulares y tiempos de residencia del agua en acuíferos someros. En zonas rurales, donde el acceso al agua de red o a sistemas seguros de abastecimiento puede ser limitado, esta problemática adquiere una dimensión sanitaria y social directa.</w:t>
      </w:r>
    </w:p>
    <w:p w14:paraId="02948D18" w14:textId="322A68E6" w:rsidR="0035134A" w:rsidRPr="0035134A" w:rsidRDefault="008C181A" w:rsidP="0035134A">
      <w:pPr>
        <w:spacing w:before="240" w:after="120"/>
        <w:jc w:val="both"/>
      </w:pPr>
      <w:r>
        <w:rPr>
          <w:color w:val="000000"/>
        </w:rPr>
        <w:t xml:space="preserve">           </w:t>
      </w:r>
      <w:r w:rsidR="0035134A" w:rsidRPr="0035134A">
        <w:rPr>
          <w:color w:val="000000"/>
        </w:rPr>
        <w:t>En Santiago del Estero, las localidades de María Elena y Colonia Rasquín, ubicadas en el departamento Banda y vinculadas al ámbito del Cono Aluvial del río Dulce, registran antecedentes históricos de aguas subterráneas con contenidos de arsénico superiores a valores de referencia para consumo humano. Esta situación se relaciona con la existencia de fuentes someras utilizadas tradicionalmente para abastecimiento doméstico, en un contexto de vulnerabilidad rural y de necesidad de obras de infraestructura</w:t>
      </w:r>
      <w:r w:rsidR="00195862">
        <w:rPr>
          <w:color w:val="000000"/>
        </w:rPr>
        <w:t xml:space="preserve"> </w:t>
      </w:r>
      <w:r w:rsidR="0035134A" w:rsidRPr="0035134A">
        <w:rPr>
          <w:color w:val="000000"/>
        </w:rPr>
        <w:t>hídrica sostenibles.</w:t>
      </w:r>
    </w:p>
    <w:p w14:paraId="17F5886B" w14:textId="77777777" w:rsidR="0035134A" w:rsidRPr="0035134A" w:rsidRDefault="008C181A" w:rsidP="0035134A">
      <w:pPr>
        <w:spacing w:before="240" w:after="120"/>
        <w:jc w:val="both"/>
      </w:pPr>
      <w:r>
        <w:rPr>
          <w:color w:val="000000"/>
        </w:rPr>
        <w:t xml:space="preserve">         </w:t>
      </w:r>
      <w:r w:rsidR="005542A1">
        <w:rPr>
          <w:color w:val="000000"/>
        </w:rPr>
        <w:t xml:space="preserve"> </w:t>
      </w:r>
      <w:r w:rsidR="0035134A" w:rsidRPr="0035134A">
        <w:rPr>
          <w:color w:val="000000"/>
        </w:rPr>
        <w:t>La problemática no puede interpretarse únicamente como un fenómeno químico del agua. En territorios del Gran Chaco, el acceso al agua segura compromete dimensiones ambientales, sanitarias, educativas, productivas y comunitarias. Por ello, el análisis de las obras hídricas implementadas debe considerar no solo su capacidad técnica para proveer agua de mejor calidad, sino también su continuidad operativa, el mantenimiento, la gestión local, la percepción de la población y la memoria colectiva construida en torno al uso histórico del agua.</w:t>
      </w:r>
    </w:p>
    <w:p w14:paraId="417F3B47" w14:textId="77777777" w:rsidR="0035134A" w:rsidRPr="0035134A" w:rsidRDefault="008C181A" w:rsidP="0035134A">
      <w:pPr>
        <w:spacing w:before="240" w:after="120"/>
        <w:jc w:val="both"/>
      </w:pPr>
      <w:r>
        <w:rPr>
          <w:color w:val="000000"/>
        </w:rPr>
        <w:t xml:space="preserve">         </w:t>
      </w:r>
      <w:r w:rsidR="0035134A" w:rsidRPr="0035134A">
        <w:rPr>
          <w:color w:val="000000"/>
        </w:rPr>
        <w:t xml:space="preserve">En este marco, las obras recientes de infraestructura hídrica significaron un cambio sustancial en la vida cotidiana de María Elena, Colonia Rasquín y otras poblaciones vinculadas al sistema de abastecimiento, al mejorar el acceso al agua segura y reducir la dependencia de fuentes someras históricamente afectadas por arsénico. El presente trabajo articula antecedentes hidrogeológicos e hidroquímicos con información social y comunitaria, a fin de aportar criterios útiles para la gestión sostenible del recurso hídrico. En este sentido, el acceso a agua segura se reconoce como un factor </w:t>
      </w:r>
      <w:r w:rsidR="005542A1">
        <w:rPr>
          <w:color w:val="000000"/>
        </w:rPr>
        <w:t>fundamental</w:t>
      </w:r>
      <w:r w:rsidR="0035134A" w:rsidRPr="0035134A">
        <w:rPr>
          <w:color w:val="000000"/>
        </w:rPr>
        <w:t xml:space="preserve"> para la salud, el bienestar comunitario y la mejora de la calidad de vida en localidades rurales del Gran Chaco santiagueño.</w:t>
      </w:r>
    </w:p>
    <w:p w14:paraId="4911EB6F" w14:textId="77777777" w:rsidR="0048738B" w:rsidRPr="0035134A" w:rsidRDefault="000D318D">
      <w:pPr>
        <w:spacing w:before="120" w:after="0"/>
      </w:pPr>
      <w:r w:rsidRPr="0035134A">
        <w:rPr>
          <w:b/>
          <w:color w:val="000000"/>
        </w:rPr>
        <w:t>2. Área de estudio y problemática abordada</w:t>
      </w:r>
    </w:p>
    <w:p w14:paraId="4F81D698" w14:textId="77777777" w:rsidR="0048738B" w:rsidRPr="0035134A" w:rsidRDefault="000D318D">
      <w:pPr>
        <w:spacing w:after="120"/>
        <w:ind w:firstLine="425"/>
        <w:jc w:val="both"/>
      </w:pPr>
      <w:r w:rsidRPr="0035134A">
        <w:rPr>
          <w:color w:val="000000"/>
        </w:rPr>
        <w:t>María Elena y Colonia Rasquín son localidades rurales del departamento Banda, provincia de Santiago del Estero. Se localizan en el ámbito del Cono Aluvial del río Dulce, una unidad de relevancia hidrogeológica regional caracterizada por depósitos sedimentarios de origen fluvial y eólico, con acuíferos someros de fácil acceso para la población rural.</w:t>
      </w:r>
    </w:p>
    <w:p w14:paraId="431253D2" w14:textId="77777777" w:rsidR="0048738B" w:rsidRPr="0035134A" w:rsidRDefault="000D318D">
      <w:pPr>
        <w:spacing w:after="120"/>
        <w:ind w:firstLine="425"/>
        <w:jc w:val="both"/>
      </w:pPr>
      <w:r w:rsidRPr="0035134A">
        <w:rPr>
          <w:color w:val="000000"/>
        </w:rPr>
        <w:lastRenderedPageBreak/>
        <w:t>Los antecedentes disponibles indican que, desde la década de 1980, se han detectado en el área niveles peligrosos de arsénico en aguas subterráneas. El origen de esta presencia se interpreta como natural, vinculado a condiciones geológicas e hidrogeoquímicas que favorecen la liberación y movilidad del arsénico en el acuífero libre. Entre los factores geológicos destacados se reconoce la presencia de cenizas volcánicas someras intercaladas en los sedimentos, cuya alteración y desvitrificación puede contribuir al aporte de arsénico al agua subterránea.</w:t>
      </w:r>
    </w:p>
    <w:p w14:paraId="31266785" w14:textId="77777777" w:rsidR="0048738B" w:rsidRPr="0035134A" w:rsidRDefault="000D318D">
      <w:pPr>
        <w:spacing w:after="120"/>
        <w:ind w:firstLine="425"/>
        <w:jc w:val="both"/>
      </w:pPr>
      <w:r w:rsidRPr="0035134A">
        <w:rPr>
          <w:color w:val="000000"/>
        </w:rPr>
        <w:t>Durante décadas, parte de la población se abasteció mediante pozos someros. Este tipo de captación, si bien resulta accesible y culturalmente incorporado en las prácticas rurales, presenta mayor vulnerabilidad frente a la presencia de arsénico y otros condicionantes de calidad. En este contexto, el riesgo sanitario se vincula con la exposición crónica al arsénico y con antecedentes de hidroarsenicismo crónico regional endémico.</w:t>
      </w:r>
    </w:p>
    <w:p w14:paraId="295E370E" w14:textId="77777777" w:rsidR="00226B38" w:rsidRDefault="00226B38" w:rsidP="00226B38">
      <w:pPr>
        <w:spacing w:before="240" w:after="120"/>
        <w:jc w:val="both"/>
      </w:pPr>
      <w:r>
        <w:rPr>
          <w:color w:val="000000"/>
        </w:rPr>
        <w:t xml:space="preserve">        Frente a esta problemática, se implementaron obras de infraestructura hídrica orientadas a reducir la dependencia de fuentes de escasa profundidad y mejorar el acceso al agua segura. Entre ellas se destacan perforaciones profundas, sistemas de conducción y alternativas de provisión comunitaria, como el </w:t>
      </w:r>
      <w:r w:rsidRPr="00195862">
        <w:rPr>
          <w:color w:val="000000"/>
        </w:rPr>
        <w:t>acueducto Las Palmitas–Colonia Gamarra,</w:t>
      </w:r>
      <w:r>
        <w:rPr>
          <w:color w:val="000000"/>
        </w:rPr>
        <w:t xml:space="preserve"> vinculado al abastecimiento hídrico del área de influencia. Si bien estas obras no resuelven de manera definitiva e integral la problemática del arsénico, representan un avance significativo en la vida cotidiana de las comunidades, cuyos habitantes ya reconocen beneficios concretos asociados a una mayor disponibilidad y confianza en el agua provista. En este sentido, su impacto debe analizarse considerando la eficacia técnica, la continuidad del servicio, el mantenimiento, la gestión institucional y la apropiación comunitaria del sistema.</w:t>
      </w:r>
    </w:p>
    <w:p w14:paraId="1E72D07B" w14:textId="77777777" w:rsidR="0048738B" w:rsidRPr="0035134A" w:rsidRDefault="000D318D">
      <w:pPr>
        <w:spacing w:before="120" w:after="0"/>
      </w:pPr>
      <w:r w:rsidRPr="0035134A">
        <w:rPr>
          <w:b/>
          <w:color w:val="000000"/>
        </w:rPr>
        <w:t>3. Objetivos</w:t>
      </w:r>
    </w:p>
    <w:p w14:paraId="35B4C198" w14:textId="77777777" w:rsidR="0048738B" w:rsidRPr="0035134A" w:rsidRDefault="000D318D">
      <w:pPr>
        <w:spacing w:before="120" w:after="0"/>
      </w:pPr>
      <w:r w:rsidRPr="0035134A">
        <w:rPr>
          <w:b/>
          <w:color w:val="000000"/>
        </w:rPr>
        <w:t>Objetivo general</w:t>
      </w:r>
    </w:p>
    <w:p w14:paraId="7273C5EC" w14:textId="77777777" w:rsidR="0048738B" w:rsidRPr="0035134A" w:rsidRDefault="000D318D">
      <w:pPr>
        <w:spacing w:after="120"/>
        <w:ind w:firstLine="425"/>
        <w:jc w:val="both"/>
      </w:pPr>
      <w:r w:rsidRPr="0035134A">
        <w:rPr>
          <w:color w:val="000000"/>
        </w:rPr>
        <w:t>Evaluar el impacto técnico, social, sanitario y comunitario de las obras de infraestructura hídrica en María Elena y Colonia Rasquín, considerando la problemática del arsénico, el HACRE y la sostenibilidad del acceso al agua segura.</w:t>
      </w:r>
    </w:p>
    <w:p w14:paraId="5E7CE98A" w14:textId="77777777" w:rsidR="0048738B" w:rsidRPr="0035134A" w:rsidRDefault="000D318D">
      <w:pPr>
        <w:spacing w:before="120" w:after="0"/>
      </w:pPr>
      <w:r w:rsidRPr="0035134A">
        <w:rPr>
          <w:b/>
          <w:color w:val="000000"/>
        </w:rPr>
        <w:t>Objetivos específicos</w:t>
      </w:r>
    </w:p>
    <w:p w14:paraId="7918483E" w14:textId="77777777" w:rsidR="0048738B" w:rsidRPr="0035134A" w:rsidRDefault="000D318D">
      <w:pPr>
        <w:pStyle w:val="Listaconvietas"/>
        <w:spacing w:after="60"/>
        <w:jc w:val="both"/>
      </w:pPr>
      <w:r w:rsidRPr="0035134A">
        <w:rPr>
          <w:color w:val="000000"/>
        </w:rPr>
        <w:t>Recopilar, analizar y sistematizar antecedentes técnicos, sanitarios e históricos sobre abastecimiento de agua y arsénico en el área de estudio.</w:t>
      </w:r>
    </w:p>
    <w:p w14:paraId="33986F0E" w14:textId="77777777" w:rsidR="0048738B" w:rsidRPr="0035134A" w:rsidRDefault="000D318D">
      <w:pPr>
        <w:pStyle w:val="Listaconvietas"/>
        <w:spacing w:after="60"/>
        <w:jc w:val="both"/>
      </w:pPr>
      <w:r w:rsidRPr="0035134A">
        <w:rPr>
          <w:color w:val="000000"/>
        </w:rPr>
        <w:t>Identificar y georreferenciar pozos, fuentes de agua y obras de abastecimiento, registrando su estado actual, características constructivas y responsables de mantenimiento.</w:t>
      </w:r>
    </w:p>
    <w:p w14:paraId="79E941BA" w14:textId="77777777" w:rsidR="0048738B" w:rsidRPr="0035134A" w:rsidRDefault="000D318D">
      <w:pPr>
        <w:pStyle w:val="Listaconvietas"/>
        <w:spacing w:after="60"/>
        <w:jc w:val="both"/>
      </w:pPr>
      <w:r w:rsidRPr="0035134A">
        <w:rPr>
          <w:color w:val="000000"/>
        </w:rPr>
        <w:lastRenderedPageBreak/>
        <w:t>Relevar la percepción comunitaria sobre el acceso al agua segura, los cambios en la calidad de vida y la confianza en la continuidad del servicio.</w:t>
      </w:r>
    </w:p>
    <w:p w14:paraId="048B6E04" w14:textId="77777777" w:rsidR="0048738B" w:rsidRPr="0035134A" w:rsidRDefault="000D318D">
      <w:pPr>
        <w:pStyle w:val="Listaconvietas"/>
        <w:spacing w:after="60"/>
        <w:jc w:val="both"/>
      </w:pPr>
      <w:r w:rsidRPr="0035134A">
        <w:rPr>
          <w:color w:val="000000"/>
        </w:rPr>
        <w:t>Reconstruir, mediante memoria oral, las prácticas históricas de abastecimiento y la relación comunitaria con el recurso hídrico.</w:t>
      </w:r>
    </w:p>
    <w:p w14:paraId="7408433A" w14:textId="77777777" w:rsidR="0048738B" w:rsidRPr="0035134A" w:rsidRDefault="000D318D">
      <w:pPr>
        <w:pStyle w:val="Listaconvietas"/>
        <w:spacing w:after="60"/>
        <w:jc w:val="both"/>
      </w:pPr>
      <w:r w:rsidRPr="0035134A">
        <w:rPr>
          <w:color w:val="000000"/>
        </w:rPr>
        <w:t>Generar información técnica y social que contribuya a la gestión sostenible del agua segura en localidades rurales con problemáticas similares.</w:t>
      </w:r>
    </w:p>
    <w:p w14:paraId="7C07F59D" w14:textId="77777777" w:rsidR="0048738B" w:rsidRPr="0035134A" w:rsidRDefault="000D318D">
      <w:pPr>
        <w:spacing w:before="120" w:after="0"/>
      </w:pPr>
      <w:r w:rsidRPr="0035134A">
        <w:rPr>
          <w:b/>
          <w:color w:val="000000"/>
        </w:rPr>
        <w:t>4. Marco conceptual y antecedentes</w:t>
      </w:r>
    </w:p>
    <w:p w14:paraId="58667774" w14:textId="77777777" w:rsidR="0048738B" w:rsidRPr="0035134A" w:rsidRDefault="000D318D">
      <w:pPr>
        <w:spacing w:after="120"/>
        <w:ind w:firstLine="425"/>
        <w:jc w:val="both"/>
      </w:pPr>
      <w:r w:rsidRPr="0035134A">
        <w:rPr>
          <w:color w:val="000000"/>
        </w:rPr>
        <w:t>La presencia de arsénico en aguas subterráneas de la llanura Chaco-Pampeana ha sido ampliamente documentada. Los estudios regionales señalan que las concentraciones elevadas responden principalmente a procesos geogénicos, asociados a sedimentos loéssicos, cenizas volcánicas intercaladas, condiciones oxidantes, pH elevado y procesos de adsorción-desorción sobre óxidos e hidróxidos de hierro, aluminio y manganeso.</w:t>
      </w:r>
    </w:p>
    <w:p w14:paraId="6E017AE0" w14:textId="5A748D2E" w:rsidR="0048738B" w:rsidRPr="0035134A" w:rsidRDefault="000D318D">
      <w:pPr>
        <w:spacing w:after="120"/>
        <w:ind w:firstLine="425"/>
        <w:jc w:val="both"/>
      </w:pPr>
      <w:r w:rsidRPr="0035134A">
        <w:rPr>
          <w:color w:val="000000"/>
        </w:rPr>
        <w:t xml:space="preserve">En el caso del Cono Aluvial del río Dulce, investigaciones previas identificaron condiciones hidrogeoquímicas complejas que controlan la distribución y movilidad del arsénico en acuíferos someros. Estos antecedentes resultan centrales para comprender la situación de las localidades rurales del departamento Banda y sectores próximos, donde la población históricamente recurrió a fuentes subterráneas de </w:t>
      </w:r>
      <w:r w:rsidR="00C21A28">
        <w:rPr>
          <w:color w:val="000000"/>
        </w:rPr>
        <w:t>escasa</w:t>
      </w:r>
      <w:r w:rsidRPr="0035134A">
        <w:rPr>
          <w:color w:val="000000"/>
        </w:rPr>
        <w:t xml:space="preserve"> profundidad.</w:t>
      </w:r>
    </w:p>
    <w:p w14:paraId="49D3C621" w14:textId="77777777" w:rsidR="0048738B" w:rsidRPr="0035134A" w:rsidRDefault="000D318D">
      <w:pPr>
        <w:spacing w:after="120"/>
        <w:ind w:firstLine="425"/>
        <w:jc w:val="both"/>
      </w:pPr>
      <w:r w:rsidRPr="0035134A">
        <w:rPr>
          <w:color w:val="000000"/>
        </w:rPr>
        <w:t>La identificación de capas someras de cenizas volcánicas en áreas de Santiago del Estero aporta un elemento explicativo relevante. Dichas cenizas, de composición ácida y asociadas a materiales volcánicos andinos, pueden liberar arsénico mediante procesos de alteración mineralógica, desvitrificación y disolución del vidrio volcánico. Posteriormente, la movilidad del arsénico puede ser regulada por condiciones de pH, interacción con fases sólidas y flujo subterráneo.</w:t>
      </w:r>
    </w:p>
    <w:p w14:paraId="1E415170" w14:textId="77777777" w:rsidR="00F00AE2" w:rsidRDefault="00036454" w:rsidP="00F00AE2">
      <w:pPr>
        <w:spacing w:after="0"/>
        <w:ind w:firstLine="397"/>
        <w:jc w:val="both"/>
        <w:rPr>
          <w:color w:val="000000"/>
        </w:rPr>
      </w:pPr>
      <w:r w:rsidRPr="00036454">
        <w:rPr>
          <w:color w:val="000000"/>
        </w:rPr>
        <w:t>El área se inscribe en un contexto climático cálido, con precipitaciones estacionales y déficit hídrico, rasgos que condicionan la recarga, la disponibilidad y la calidad del recurso subterráneo.</w:t>
      </w:r>
      <w:r>
        <w:rPr>
          <w:color w:val="000000"/>
        </w:rPr>
        <w:t xml:space="preserve"> </w:t>
      </w:r>
      <w:r w:rsidR="00F00AE2" w:rsidRPr="00F00AE2">
        <w:rPr>
          <w:color w:val="000000"/>
        </w:rPr>
        <w:t xml:space="preserve">Asimismo, el Cono Aluvial del río Dulce, que comprende sectores de Capital, Banda y Robles, ha sido señalado como una unidad con acuíferos profundos de mejor calidad y cantidad, mientras que los acuíferos superiores pueden presentar mayor salinidad y contenidos de arsénico y flúor por encima de valores de referencia para agua de consumo. Para el arsénico, se consideran como referencia el valor guía de la Organización Mundial de la Salud (OMS), de 10 µg/L, y el valor de 50 µg/L establecido por el Código Alimentario Argentino (CAA), </w:t>
      </w:r>
      <w:r w:rsidR="00F00AE2" w:rsidRPr="00F00AE2">
        <w:rPr>
          <w:color w:val="000000"/>
        </w:rPr>
        <w:lastRenderedPageBreak/>
        <w:t>utilizado también en antecedentes técnicos provinciales vinculados a la evaluación de la potabilidad del agua.</w:t>
      </w:r>
      <w:r w:rsidR="00F00AE2">
        <w:rPr>
          <w:color w:val="000000"/>
        </w:rPr>
        <w:t xml:space="preserve"> </w:t>
      </w:r>
    </w:p>
    <w:p w14:paraId="218FB0CA" w14:textId="1F0F050C" w:rsidR="0048738B" w:rsidRPr="0035134A" w:rsidRDefault="000D318D" w:rsidP="00F00AE2">
      <w:pPr>
        <w:spacing w:after="0"/>
        <w:ind w:firstLine="397"/>
        <w:jc w:val="both"/>
      </w:pPr>
      <w:r w:rsidRPr="0035134A">
        <w:rPr>
          <w:color w:val="000000"/>
        </w:rPr>
        <w:t>Desde una perspectiva socioambiental, el problema del arsénico no se limita a la presencia del elemento en el agua. Involucra la disponibilidad de alternativas seguras, la gestión de infraestructura, la continuidad del servicio, la educación comunitaria y la capacidad de las instituciones locales para sostener controles de calidad. En comunidades rurales, el acceso al agua segura constituye además un componente de justicia ambiental y de desarrollo sostenible.</w:t>
      </w:r>
    </w:p>
    <w:p w14:paraId="207E0196" w14:textId="77777777" w:rsidR="0048738B" w:rsidRPr="0035134A" w:rsidRDefault="000D318D">
      <w:pPr>
        <w:spacing w:before="120" w:after="0"/>
      </w:pPr>
      <w:r w:rsidRPr="00004096">
        <w:rPr>
          <w:b/>
          <w:color w:val="000000"/>
        </w:rPr>
        <w:t>5. Metodología</w:t>
      </w:r>
    </w:p>
    <w:p w14:paraId="1D0FA6EB" w14:textId="77777777" w:rsidR="0048738B" w:rsidRPr="0035134A" w:rsidRDefault="000D318D">
      <w:pPr>
        <w:spacing w:after="120"/>
        <w:ind w:firstLine="425"/>
        <w:jc w:val="both"/>
      </w:pPr>
      <w:r w:rsidRPr="0035134A">
        <w:rPr>
          <w:color w:val="000000"/>
        </w:rPr>
        <w:t>El trabajo adopta un enfoque interdisciplinario, integrando herramientas hidrogeológicas, hidroquímicas, sociales e históricas. Esta decisión metodológica responde a la necesidad de evaluar no solo la calidad del agua y las obras de abastecimiento, sino también los cambios percibidos por la comunidad y las condiciones que permiten sostener el acceso al agua segura en el tiempo.</w:t>
      </w:r>
    </w:p>
    <w:p w14:paraId="7C834D86" w14:textId="77777777" w:rsidR="0053467F" w:rsidRPr="0053467F" w:rsidRDefault="0053467F" w:rsidP="0053467F">
      <w:pPr>
        <w:spacing w:after="120"/>
        <w:ind w:firstLine="425"/>
        <w:jc w:val="both"/>
      </w:pPr>
      <w:r w:rsidRPr="0053467F">
        <w:rPr>
          <w:color w:val="000000"/>
        </w:rPr>
        <w:t>La metodología se organiza en cinco componentes principales:</w:t>
      </w:r>
    </w:p>
    <w:p w14:paraId="54420ACF" w14:textId="77777777" w:rsidR="0053467F" w:rsidRPr="0053467F" w:rsidRDefault="0053467F" w:rsidP="0053467F">
      <w:pPr>
        <w:spacing w:after="120"/>
        <w:ind w:firstLine="425"/>
        <w:jc w:val="both"/>
      </w:pPr>
      <w:r w:rsidRPr="0053467F">
        <w:rPr>
          <w:color w:val="000000"/>
        </w:rPr>
        <w:t xml:space="preserve">• </w:t>
      </w:r>
      <w:r w:rsidRPr="0053467F">
        <w:rPr>
          <w:b/>
          <w:bCs/>
          <w:color w:val="000000"/>
        </w:rPr>
        <w:t>Revisión de antecedentes:</w:t>
      </w:r>
      <w:r w:rsidRPr="0053467F">
        <w:rPr>
          <w:color w:val="000000"/>
        </w:rPr>
        <w:t xml:space="preserve"> recopilación y análisis de estudios previos, datos históricos, información sanitaria y documentación técnica sobre arsénico, obras hídricas y fuentes de abastecimiento en el área de estudio.</w:t>
      </w:r>
    </w:p>
    <w:p w14:paraId="04A58E3B" w14:textId="77777777" w:rsidR="0053467F" w:rsidRPr="0053467F" w:rsidRDefault="0053467F" w:rsidP="0053467F">
      <w:pPr>
        <w:spacing w:after="120"/>
        <w:ind w:firstLine="425"/>
        <w:jc w:val="both"/>
      </w:pPr>
      <w:r w:rsidRPr="0053467F">
        <w:rPr>
          <w:color w:val="000000"/>
        </w:rPr>
        <w:t xml:space="preserve">• </w:t>
      </w:r>
      <w:r w:rsidRPr="0053467F">
        <w:rPr>
          <w:b/>
          <w:bCs/>
          <w:color w:val="000000"/>
        </w:rPr>
        <w:t>Censo y georreferenciación:</w:t>
      </w:r>
      <w:r w:rsidRPr="0053467F">
        <w:rPr>
          <w:color w:val="000000"/>
        </w:rPr>
        <w:t xml:space="preserve"> identificación de pozos someros, perforaciones, fuentes alternativas y obras de infraestructura hídrica, registrando ubicación, estado actual y características generales.</w:t>
      </w:r>
    </w:p>
    <w:p w14:paraId="5E4E178B" w14:textId="77777777" w:rsidR="0053467F" w:rsidRPr="0053467F" w:rsidRDefault="0053467F" w:rsidP="0053467F">
      <w:pPr>
        <w:spacing w:after="120"/>
        <w:ind w:firstLine="425"/>
        <w:jc w:val="both"/>
      </w:pPr>
      <w:r w:rsidRPr="0053467F">
        <w:rPr>
          <w:color w:val="000000"/>
        </w:rPr>
        <w:t xml:space="preserve">• </w:t>
      </w:r>
      <w:r w:rsidRPr="0053467F">
        <w:rPr>
          <w:b/>
          <w:bCs/>
          <w:color w:val="000000"/>
        </w:rPr>
        <w:t>Relevamiento técnico de obras:</w:t>
      </w:r>
      <w:r w:rsidRPr="0053467F">
        <w:rPr>
          <w:color w:val="000000"/>
        </w:rPr>
        <w:t xml:space="preserve"> descripción de captaciones, sistemas de conducción, condiciones de mantenimiento, continuidad operativa y organismos o actores responsables del servicio.</w:t>
      </w:r>
    </w:p>
    <w:p w14:paraId="74EA0C7B" w14:textId="77777777" w:rsidR="0053467F" w:rsidRPr="0053467F" w:rsidRDefault="0053467F" w:rsidP="0053467F">
      <w:pPr>
        <w:spacing w:after="120"/>
        <w:ind w:firstLine="425"/>
        <w:jc w:val="both"/>
      </w:pPr>
      <w:r w:rsidRPr="0053467F">
        <w:rPr>
          <w:color w:val="000000"/>
        </w:rPr>
        <w:t xml:space="preserve">• </w:t>
      </w:r>
      <w:r w:rsidRPr="0053467F">
        <w:rPr>
          <w:b/>
          <w:bCs/>
          <w:color w:val="000000"/>
        </w:rPr>
        <w:t>Relevamiento poblacional y comunitario:</w:t>
      </w:r>
      <w:r w:rsidRPr="0053467F">
        <w:rPr>
          <w:color w:val="000000"/>
        </w:rPr>
        <w:t xml:space="preserve"> registro de las formas actuales e históricas de abastecimiento, cambios asociados a las obras implementadas y percepción de la población respecto del acceso al agua segura.</w:t>
      </w:r>
    </w:p>
    <w:p w14:paraId="51EDB47B" w14:textId="77777777" w:rsidR="0053467F" w:rsidRPr="0053467F" w:rsidRDefault="0053467F" w:rsidP="0053467F">
      <w:pPr>
        <w:spacing w:after="120"/>
        <w:ind w:firstLine="425"/>
        <w:jc w:val="both"/>
      </w:pPr>
      <w:r w:rsidRPr="0053467F">
        <w:rPr>
          <w:color w:val="000000"/>
        </w:rPr>
        <w:t xml:space="preserve">• </w:t>
      </w:r>
      <w:r w:rsidRPr="0053467F">
        <w:rPr>
          <w:b/>
          <w:bCs/>
          <w:color w:val="000000"/>
        </w:rPr>
        <w:t>Memoria oral y percepción social:</w:t>
      </w:r>
      <w:r w:rsidRPr="0053467F">
        <w:rPr>
          <w:color w:val="000000"/>
        </w:rPr>
        <w:t xml:space="preserve"> reconstrucción de experiencias comunitarias vinculadas al uso histórico del agua, la exposición al arsénico, las transformaciones generadas por las nuevas fuentes de provisión y la valoración social de las obras</w:t>
      </w:r>
    </w:p>
    <w:p w14:paraId="2731BECF" w14:textId="77777777" w:rsidR="00490B1F" w:rsidRDefault="00490B1F" w:rsidP="00490B1F">
      <w:pPr>
        <w:spacing w:before="240" w:after="120"/>
        <w:jc w:val="both"/>
      </w:pPr>
      <w:r>
        <w:rPr>
          <w:color w:val="000000"/>
        </w:rPr>
        <w:t xml:space="preserve">         </w:t>
      </w:r>
      <w:r w:rsidRPr="00490B1F">
        <w:rPr>
          <w:color w:val="000000"/>
        </w:rPr>
        <w:t>Los materiales y herramientas utilizados incluyen GPS para la georreferenciación de pozos, perforaciones, fuentes de abastecimiento y obras hídricas</w:t>
      </w:r>
      <w:r>
        <w:rPr>
          <w:color w:val="000000"/>
        </w:rPr>
        <w:t>,</w:t>
      </w:r>
      <w:r w:rsidRPr="00490B1F">
        <w:rPr>
          <w:color w:val="000000"/>
        </w:rPr>
        <w:t xml:space="preserve"> fichas de relevamiento de </w:t>
      </w:r>
      <w:r w:rsidRPr="00490B1F">
        <w:rPr>
          <w:color w:val="000000"/>
        </w:rPr>
        <w:lastRenderedPageBreak/>
        <w:t>campo</w:t>
      </w:r>
      <w:r>
        <w:rPr>
          <w:color w:val="000000"/>
        </w:rPr>
        <w:t>,</w:t>
      </w:r>
      <w:r w:rsidRPr="00490B1F">
        <w:rPr>
          <w:color w:val="000000"/>
        </w:rPr>
        <w:t xml:space="preserve"> registros fotográficos</w:t>
      </w:r>
      <w:r>
        <w:rPr>
          <w:color w:val="000000"/>
        </w:rPr>
        <w:t>,</w:t>
      </w:r>
      <w:r w:rsidRPr="00490B1F">
        <w:rPr>
          <w:color w:val="000000"/>
        </w:rPr>
        <w:t xml:space="preserve"> entrevistas o encuestas semiestructuradas</w:t>
      </w:r>
      <w:r>
        <w:rPr>
          <w:color w:val="000000"/>
        </w:rPr>
        <w:t>,</w:t>
      </w:r>
      <w:r w:rsidRPr="00490B1F">
        <w:rPr>
          <w:color w:val="000000"/>
        </w:rPr>
        <w:t xml:space="preserve"> antecedentes hidrogeológicos e hidroquímicos disponibles</w:t>
      </w:r>
      <w:r>
        <w:rPr>
          <w:color w:val="000000"/>
        </w:rPr>
        <w:t>,</w:t>
      </w:r>
      <w:r w:rsidRPr="00490B1F">
        <w:rPr>
          <w:color w:val="000000"/>
        </w:rPr>
        <w:t xml:space="preserve"> y equipamiento portátil para la medición in situ de parámetros fisicoquímicos del agua. Durante las tareas de campo se registraron parámetros básicos de calidad del agua y se tomaron muestras para análisis de laboratorio, con el propósito de complementar la caracterización hidroquímica y evaluar la presencia de arsénico en el área de estudio.</w:t>
      </w:r>
    </w:p>
    <w:p w14:paraId="57288E49" w14:textId="77777777" w:rsidR="00002396" w:rsidRDefault="00002396" w:rsidP="00002396">
      <w:pPr>
        <w:spacing w:after="160"/>
      </w:pPr>
      <w:r>
        <w:rPr>
          <w:b/>
        </w:rPr>
        <w:t>6. Resultados preliminares y línea de base</w:t>
      </w:r>
    </w:p>
    <w:p w14:paraId="49E75D70" w14:textId="77777777" w:rsidR="00002396" w:rsidRDefault="00002396" w:rsidP="00002396">
      <w:pPr>
        <w:spacing w:after="120"/>
        <w:ind w:firstLine="709"/>
        <w:jc w:val="both"/>
      </w:pPr>
      <w:r>
        <w:t>Los antecedentes recopilados permiten reconocer una problemática persistente de arsénico en aguas subterráneas de la zona de estudio, especialmente vinculada al uso histórico de pozos someros y otras fuentes de escasa profundidad. Esta situación debe interpretarse en el marco hidrogeológico del Cono Aluvial del río Dulce, donde los acuíferos libres y semiconfinados de baja profundidad han sido tradicionalmente utilizados por pobladores rurales por su accesibilidad y disponibilidad local.</w:t>
      </w:r>
    </w:p>
    <w:p w14:paraId="4BF86023" w14:textId="77777777" w:rsidR="00002396" w:rsidRDefault="00002396" w:rsidP="00002396">
      <w:pPr>
        <w:spacing w:after="120"/>
        <w:ind w:firstLine="709"/>
        <w:jc w:val="both"/>
      </w:pPr>
      <w:r>
        <w:t>La bibliografía provincial consultada aporta datos relevantes para fortalecer la línea de base. En esos antecedentes se señala que la presencia de arsénico en las aguas subterráneas de Santiago del Estero es de origen natural y se encuentra asociada a la existencia de ceniza y vidrio volcánico en los sedimentos, cuya alteración contribuye a la incorporación del elemento al agua subterránea. También se destaca que la hidrogeología provincial condiciona una marcada variabilidad en la cantidad y calidad físico-química del recurso, con zonas donde el agua subterránea presenta contenidos de arsénico por encima de los valores límites permitidos.</w:t>
      </w:r>
    </w:p>
    <w:p w14:paraId="128CFF60" w14:textId="77777777" w:rsidR="00002396" w:rsidRDefault="00002396" w:rsidP="00002396">
      <w:pPr>
        <w:spacing w:after="120"/>
        <w:ind w:firstLine="709"/>
        <w:jc w:val="both"/>
      </w:pPr>
      <w:r>
        <w:t>En el área rural vinculada al Cono Aluvial del río Dulce, los registros bibliográficos indican concentraciones elevadas de arsénico en distintas localidades. En particular, los valores recopilados para Colonia Rasquín y localidades rurales próximas superan ampliamente tanto el valor guía de la Organización Mundial de la Salud (10 µg/L) como el valor de 50 µg/L considerado por el Código Alimentario Argentino y por la normativa provincial utilizada como referencia para agua de consumo humano. Estos datos resultan especialmente relevantes porque incluyen a Colonia Rasquín, una de las localidades consideradas en el presente trabajo, y permiten dimensionar el riesgo histórico en el área de influencia.</w:t>
      </w:r>
    </w:p>
    <w:p w14:paraId="462DC57D" w14:textId="743048D4" w:rsidR="00002396" w:rsidRDefault="00002396" w:rsidP="00002396">
      <w:pPr>
        <w:spacing w:after="120"/>
        <w:ind w:firstLine="709"/>
        <w:jc w:val="both"/>
      </w:pPr>
      <w:r>
        <w:t xml:space="preserve">La Tabla 1 sintetiza los valores de referencia utilizados para interpretar la magnitud de los registros históricos. La Tabla 2 presenta ejemplos de concentraciones de arsénico reportadas para localidades rurales del Cono Aluvial del río Dulce. </w:t>
      </w:r>
    </w:p>
    <w:p w14:paraId="064788D4" w14:textId="218DFB1D" w:rsidR="00002396" w:rsidRDefault="00002396" w:rsidP="00002396">
      <w:r>
        <w:br w:type="page"/>
      </w:r>
    </w:p>
    <w:tbl>
      <w:tblPr>
        <w:tblStyle w:val="Tablaconcuadrcula"/>
        <w:tblW w:w="0" w:type="auto"/>
        <w:jc w:val="center"/>
        <w:tblLook w:val="04A0" w:firstRow="1" w:lastRow="0" w:firstColumn="1" w:lastColumn="0" w:noHBand="0" w:noVBand="1"/>
      </w:tblPr>
      <w:tblGrid>
        <w:gridCol w:w="3020"/>
        <w:gridCol w:w="3018"/>
        <w:gridCol w:w="3024"/>
      </w:tblGrid>
      <w:tr w:rsidR="00002396" w:rsidRPr="00004096" w14:paraId="13C6E686" w14:textId="77777777" w:rsidTr="00004096">
        <w:trPr>
          <w:cantSplit/>
          <w:jc w:val="center"/>
        </w:trPr>
        <w:tc>
          <w:tcPr>
            <w:tcW w:w="3020" w:type="dxa"/>
            <w:vAlign w:val="center"/>
          </w:tcPr>
          <w:p w14:paraId="0158EB36" w14:textId="77777777" w:rsidR="00002396" w:rsidRPr="00004096" w:rsidRDefault="00002396">
            <w:pPr>
              <w:spacing w:line="240" w:lineRule="auto"/>
              <w:jc w:val="center"/>
            </w:pPr>
            <w:r w:rsidRPr="00004096">
              <w:rPr>
                <w:b/>
              </w:rPr>
              <w:lastRenderedPageBreak/>
              <w:t>Referencia</w:t>
            </w:r>
          </w:p>
        </w:tc>
        <w:tc>
          <w:tcPr>
            <w:tcW w:w="3018" w:type="dxa"/>
            <w:vAlign w:val="center"/>
          </w:tcPr>
          <w:p w14:paraId="4B4420F4" w14:textId="77777777" w:rsidR="00002396" w:rsidRPr="00004096" w:rsidRDefault="00002396">
            <w:pPr>
              <w:spacing w:line="240" w:lineRule="auto"/>
              <w:jc w:val="center"/>
            </w:pPr>
            <w:r w:rsidRPr="00004096">
              <w:rPr>
                <w:b/>
              </w:rPr>
              <w:t>Valor de arsénico</w:t>
            </w:r>
          </w:p>
        </w:tc>
        <w:tc>
          <w:tcPr>
            <w:tcW w:w="3024" w:type="dxa"/>
            <w:vAlign w:val="center"/>
          </w:tcPr>
          <w:p w14:paraId="0FB0FC2C" w14:textId="77777777" w:rsidR="00002396" w:rsidRPr="00004096" w:rsidRDefault="00002396">
            <w:pPr>
              <w:spacing w:line="240" w:lineRule="auto"/>
              <w:jc w:val="center"/>
            </w:pPr>
            <w:r w:rsidRPr="00004096">
              <w:rPr>
                <w:b/>
              </w:rPr>
              <w:t>Interpretación</w:t>
            </w:r>
          </w:p>
        </w:tc>
      </w:tr>
      <w:tr w:rsidR="00002396" w:rsidRPr="00004096" w14:paraId="3463C934" w14:textId="77777777" w:rsidTr="0041646E">
        <w:trPr>
          <w:cantSplit/>
          <w:jc w:val="center"/>
        </w:trPr>
        <w:tc>
          <w:tcPr>
            <w:tcW w:w="3020" w:type="dxa"/>
            <w:vAlign w:val="center"/>
          </w:tcPr>
          <w:p w14:paraId="5086618B" w14:textId="77777777" w:rsidR="00002396" w:rsidRPr="00004096" w:rsidRDefault="00002396">
            <w:pPr>
              <w:spacing w:line="240" w:lineRule="auto"/>
            </w:pPr>
            <w:r w:rsidRPr="00004096">
              <w:t>OMS, valor guía</w:t>
            </w:r>
          </w:p>
        </w:tc>
        <w:tc>
          <w:tcPr>
            <w:tcW w:w="3018" w:type="dxa"/>
            <w:vAlign w:val="center"/>
          </w:tcPr>
          <w:p w14:paraId="4E58FA8C" w14:textId="77777777" w:rsidR="00002396" w:rsidRPr="00004096" w:rsidRDefault="00002396">
            <w:pPr>
              <w:spacing w:line="240" w:lineRule="auto"/>
            </w:pPr>
            <w:r w:rsidRPr="00004096">
              <w:t>10 µg/L</w:t>
            </w:r>
          </w:p>
        </w:tc>
        <w:tc>
          <w:tcPr>
            <w:tcW w:w="3024" w:type="dxa"/>
            <w:vAlign w:val="center"/>
          </w:tcPr>
          <w:p w14:paraId="469099A9" w14:textId="77777777" w:rsidR="00002396" w:rsidRPr="00004096" w:rsidRDefault="00002396">
            <w:pPr>
              <w:spacing w:line="240" w:lineRule="auto"/>
            </w:pPr>
            <w:r w:rsidRPr="00004096">
              <w:t>Valor guía internacional para agua de consumo.</w:t>
            </w:r>
          </w:p>
        </w:tc>
      </w:tr>
      <w:tr w:rsidR="00002396" w14:paraId="76E002BD" w14:textId="77777777" w:rsidTr="0041646E">
        <w:trPr>
          <w:cantSplit/>
          <w:jc w:val="center"/>
        </w:trPr>
        <w:tc>
          <w:tcPr>
            <w:tcW w:w="3020" w:type="dxa"/>
            <w:vAlign w:val="center"/>
          </w:tcPr>
          <w:p w14:paraId="732A9D70" w14:textId="77777777" w:rsidR="00002396" w:rsidRPr="00004096" w:rsidRDefault="00002396">
            <w:pPr>
              <w:spacing w:line="240" w:lineRule="auto"/>
            </w:pPr>
            <w:r w:rsidRPr="00004096">
              <w:t>CAA / referencia provincial</w:t>
            </w:r>
          </w:p>
        </w:tc>
        <w:tc>
          <w:tcPr>
            <w:tcW w:w="3018" w:type="dxa"/>
            <w:vAlign w:val="center"/>
          </w:tcPr>
          <w:p w14:paraId="44E6D1D1" w14:textId="77777777" w:rsidR="00002396" w:rsidRPr="00004096" w:rsidRDefault="00002396">
            <w:pPr>
              <w:spacing w:line="240" w:lineRule="auto"/>
            </w:pPr>
            <w:r w:rsidRPr="00004096">
              <w:t>50 µg/L</w:t>
            </w:r>
          </w:p>
        </w:tc>
        <w:tc>
          <w:tcPr>
            <w:tcW w:w="3024" w:type="dxa"/>
            <w:vAlign w:val="center"/>
          </w:tcPr>
          <w:p w14:paraId="660C09C7" w14:textId="77777777" w:rsidR="00002396" w:rsidRDefault="00002396">
            <w:pPr>
              <w:spacing w:line="240" w:lineRule="auto"/>
            </w:pPr>
            <w:r w:rsidRPr="00004096">
              <w:t>Valor normativo de referencia utilizado para potabilidad.</w:t>
            </w:r>
          </w:p>
        </w:tc>
      </w:tr>
    </w:tbl>
    <w:p w14:paraId="6CDD3990" w14:textId="6A69B5FA" w:rsidR="0041646E" w:rsidRPr="0041646E" w:rsidRDefault="0041646E" w:rsidP="0041646E">
      <w:pPr>
        <w:spacing w:after="120"/>
        <w:ind w:firstLine="709"/>
        <w:jc w:val="center"/>
        <w:rPr>
          <w:bCs/>
        </w:rPr>
      </w:pPr>
      <w:r w:rsidRPr="0041646E">
        <w:rPr>
          <w:bCs/>
        </w:rPr>
        <w:t>Tabla 1. Valores de referencia para arsénico en agua de consumo</w:t>
      </w:r>
    </w:p>
    <w:p w14:paraId="776AAAA8" w14:textId="77777777" w:rsidR="008D09BA" w:rsidRPr="008D09BA" w:rsidRDefault="008D09BA" w:rsidP="008D09BA">
      <w:pPr>
        <w:spacing w:after="120"/>
        <w:ind w:firstLine="709"/>
        <w:jc w:val="both"/>
      </w:pPr>
      <w:r w:rsidRPr="008D09BA">
        <w:t>Los datos bibliográficos disponibles para la zona rural del Cono Aluvial del río Dulce muestran concentraciones de arsénico muy superiores a los valores de referencia considerados para agua de consumo. Estos registros, correspondientes a distintas localidades rurales del área de influencia, permiten dimensionar la magnitud regional de la problemática y la vulnerabilidad asociada al uso de fuentes subterráneas de escasa profundidad.</w:t>
      </w:r>
    </w:p>
    <w:p w14:paraId="5221E950" w14:textId="77777777" w:rsidR="008D09BA" w:rsidRPr="008D09BA" w:rsidRDefault="008D09BA" w:rsidP="008D09BA">
      <w:pPr>
        <w:spacing w:after="120"/>
        <w:ind w:firstLine="709"/>
        <w:jc w:val="both"/>
      </w:pPr>
      <w:r w:rsidRPr="008D09BA">
        <w:t>En particular, los valores reportados superan ampliamente tanto el valor guía de la OMS de 10 µg/L como el valor de 50 µg/L utilizado como referencia técnica y provincial en antecedentes vinculados a la evaluación de la potabilidad del agua. La presencia de concentraciones elevadas en localidades cercanas refuerza la necesidad de sostener obras de abastecimiento seguro, controles periódicos de calidad y estrategias de gestión comunitaria del recurso hídrico.</w:t>
      </w:r>
    </w:p>
    <w:tbl>
      <w:tblPr>
        <w:tblStyle w:val="Tablaconcuadrcula"/>
        <w:tblW w:w="0" w:type="auto"/>
        <w:jc w:val="center"/>
        <w:tblLook w:val="04A0" w:firstRow="1" w:lastRow="0" w:firstColumn="1" w:lastColumn="0" w:noHBand="0" w:noVBand="1"/>
      </w:tblPr>
      <w:tblGrid>
        <w:gridCol w:w="2267"/>
        <w:gridCol w:w="2266"/>
        <w:gridCol w:w="2265"/>
        <w:gridCol w:w="2264"/>
      </w:tblGrid>
      <w:tr w:rsidR="00002396" w14:paraId="56C8DCEC" w14:textId="77777777" w:rsidTr="00004096">
        <w:trPr>
          <w:cantSplit/>
          <w:jc w:val="center"/>
        </w:trPr>
        <w:tc>
          <w:tcPr>
            <w:tcW w:w="2267" w:type="dxa"/>
            <w:vAlign w:val="center"/>
          </w:tcPr>
          <w:p w14:paraId="7B0600C8" w14:textId="77777777" w:rsidR="00002396" w:rsidRDefault="00002396">
            <w:pPr>
              <w:spacing w:line="240" w:lineRule="auto"/>
              <w:jc w:val="center"/>
            </w:pPr>
            <w:r>
              <w:rPr>
                <w:b/>
              </w:rPr>
              <w:t>Localidad</w:t>
            </w:r>
          </w:p>
        </w:tc>
        <w:tc>
          <w:tcPr>
            <w:tcW w:w="2266" w:type="dxa"/>
            <w:vAlign w:val="center"/>
          </w:tcPr>
          <w:p w14:paraId="3058F710" w14:textId="77777777" w:rsidR="00002396" w:rsidRDefault="00002396">
            <w:pPr>
              <w:spacing w:line="240" w:lineRule="auto"/>
              <w:jc w:val="center"/>
            </w:pPr>
            <w:r>
              <w:rPr>
                <w:b/>
              </w:rPr>
              <w:t>As (µg/L)</w:t>
            </w:r>
          </w:p>
        </w:tc>
        <w:tc>
          <w:tcPr>
            <w:tcW w:w="2265" w:type="dxa"/>
            <w:vAlign w:val="center"/>
          </w:tcPr>
          <w:p w14:paraId="600AE4C5" w14:textId="77777777" w:rsidR="00002396" w:rsidRDefault="00002396">
            <w:pPr>
              <w:spacing w:line="240" w:lineRule="auto"/>
              <w:jc w:val="center"/>
            </w:pPr>
            <w:r>
              <w:rPr>
                <w:b/>
              </w:rPr>
              <w:t>Veces sobre OMS (10 µg/L)</w:t>
            </w:r>
          </w:p>
        </w:tc>
        <w:tc>
          <w:tcPr>
            <w:tcW w:w="2264" w:type="dxa"/>
            <w:vAlign w:val="center"/>
          </w:tcPr>
          <w:p w14:paraId="1CF7501B" w14:textId="77777777" w:rsidR="00002396" w:rsidRDefault="00002396">
            <w:pPr>
              <w:spacing w:line="240" w:lineRule="auto"/>
              <w:jc w:val="center"/>
            </w:pPr>
            <w:r>
              <w:rPr>
                <w:b/>
              </w:rPr>
              <w:t>Veces sobre 50 µg/L</w:t>
            </w:r>
          </w:p>
        </w:tc>
      </w:tr>
      <w:tr w:rsidR="00002396" w14:paraId="01157274" w14:textId="77777777" w:rsidTr="0041646E">
        <w:trPr>
          <w:cantSplit/>
          <w:jc w:val="center"/>
        </w:trPr>
        <w:tc>
          <w:tcPr>
            <w:tcW w:w="2267" w:type="dxa"/>
            <w:vAlign w:val="center"/>
          </w:tcPr>
          <w:p w14:paraId="72D01DA7" w14:textId="77777777" w:rsidR="00002396" w:rsidRDefault="00002396">
            <w:pPr>
              <w:spacing w:line="240" w:lineRule="auto"/>
            </w:pPr>
            <w:r>
              <w:t>Colonia Rasquín</w:t>
            </w:r>
          </w:p>
        </w:tc>
        <w:tc>
          <w:tcPr>
            <w:tcW w:w="2266" w:type="dxa"/>
            <w:vAlign w:val="center"/>
          </w:tcPr>
          <w:p w14:paraId="350E7A4B" w14:textId="77777777" w:rsidR="00002396" w:rsidRDefault="00002396">
            <w:pPr>
              <w:spacing w:line="240" w:lineRule="auto"/>
            </w:pPr>
            <w:r>
              <w:t>13.494,4</w:t>
            </w:r>
          </w:p>
        </w:tc>
        <w:tc>
          <w:tcPr>
            <w:tcW w:w="2265" w:type="dxa"/>
            <w:vAlign w:val="center"/>
          </w:tcPr>
          <w:p w14:paraId="07765502" w14:textId="77777777" w:rsidR="00002396" w:rsidRDefault="00002396">
            <w:pPr>
              <w:spacing w:line="240" w:lineRule="auto"/>
            </w:pPr>
            <w:r>
              <w:t>1.349,4</w:t>
            </w:r>
          </w:p>
        </w:tc>
        <w:tc>
          <w:tcPr>
            <w:tcW w:w="2264" w:type="dxa"/>
            <w:vAlign w:val="center"/>
          </w:tcPr>
          <w:p w14:paraId="61A7E552" w14:textId="77777777" w:rsidR="00002396" w:rsidRDefault="00002396">
            <w:pPr>
              <w:spacing w:line="240" w:lineRule="auto"/>
            </w:pPr>
            <w:r>
              <w:t>269,9</w:t>
            </w:r>
          </w:p>
        </w:tc>
      </w:tr>
      <w:tr w:rsidR="00002396" w14:paraId="1CE40D27" w14:textId="77777777" w:rsidTr="0041646E">
        <w:trPr>
          <w:cantSplit/>
          <w:jc w:val="center"/>
        </w:trPr>
        <w:tc>
          <w:tcPr>
            <w:tcW w:w="2267" w:type="dxa"/>
            <w:vAlign w:val="center"/>
          </w:tcPr>
          <w:p w14:paraId="2ED482B1" w14:textId="77777777" w:rsidR="00002396" w:rsidRDefault="00002396">
            <w:pPr>
              <w:spacing w:line="240" w:lineRule="auto"/>
            </w:pPr>
            <w:r>
              <w:t>Mili</w:t>
            </w:r>
          </w:p>
        </w:tc>
        <w:tc>
          <w:tcPr>
            <w:tcW w:w="2266" w:type="dxa"/>
            <w:vAlign w:val="center"/>
          </w:tcPr>
          <w:p w14:paraId="29A67CC5" w14:textId="77777777" w:rsidR="00002396" w:rsidRDefault="00002396">
            <w:pPr>
              <w:spacing w:line="240" w:lineRule="auto"/>
            </w:pPr>
            <w:r>
              <w:t>3.300,0</w:t>
            </w:r>
          </w:p>
        </w:tc>
        <w:tc>
          <w:tcPr>
            <w:tcW w:w="2265" w:type="dxa"/>
            <w:vAlign w:val="center"/>
          </w:tcPr>
          <w:p w14:paraId="730D66F2" w14:textId="77777777" w:rsidR="00002396" w:rsidRDefault="00002396">
            <w:pPr>
              <w:spacing w:line="240" w:lineRule="auto"/>
            </w:pPr>
            <w:r>
              <w:t>330,0</w:t>
            </w:r>
          </w:p>
        </w:tc>
        <w:tc>
          <w:tcPr>
            <w:tcW w:w="2264" w:type="dxa"/>
            <w:vAlign w:val="center"/>
          </w:tcPr>
          <w:p w14:paraId="64333E25" w14:textId="77777777" w:rsidR="00002396" w:rsidRDefault="00002396">
            <w:pPr>
              <w:spacing w:line="240" w:lineRule="auto"/>
            </w:pPr>
            <w:r>
              <w:t>66,0</w:t>
            </w:r>
          </w:p>
        </w:tc>
      </w:tr>
      <w:tr w:rsidR="00002396" w14:paraId="72ED1221" w14:textId="77777777" w:rsidTr="0041646E">
        <w:trPr>
          <w:cantSplit/>
          <w:jc w:val="center"/>
        </w:trPr>
        <w:tc>
          <w:tcPr>
            <w:tcW w:w="2267" w:type="dxa"/>
            <w:vAlign w:val="center"/>
          </w:tcPr>
          <w:p w14:paraId="73D9405F" w14:textId="77777777" w:rsidR="00002396" w:rsidRDefault="00002396">
            <w:pPr>
              <w:spacing w:line="240" w:lineRule="auto"/>
            </w:pPr>
            <w:r>
              <w:t>Las Hermanas</w:t>
            </w:r>
          </w:p>
        </w:tc>
        <w:tc>
          <w:tcPr>
            <w:tcW w:w="2266" w:type="dxa"/>
            <w:vAlign w:val="center"/>
          </w:tcPr>
          <w:p w14:paraId="708766FB" w14:textId="77777777" w:rsidR="00002396" w:rsidRDefault="00002396">
            <w:pPr>
              <w:spacing w:line="240" w:lineRule="auto"/>
            </w:pPr>
            <w:r>
              <w:t>1.585,4</w:t>
            </w:r>
          </w:p>
        </w:tc>
        <w:tc>
          <w:tcPr>
            <w:tcW w:w="2265" w:type="dxa"/>
            <w:vAlign w:val="center"/>
          </w:tcPr>
          <w:p w14:paraId="1586AFBC" w14:textId="77777777" w:rsidR="00002396" w:rsidRDefault="00002396">
            <w:pPr>
              <w:spacing w:line="240" w:lineRule="auto"/>
            </w:pPr>
            <w:r>
              <w:t>158,5</w:t>
            </w:r>
          </w:p>
        </w:tc>
        <w:tc>
          <w:tcPr>
            <w:tcW w:w="2264" w:type="dxa"/>
            <w:vAlign w:val="center"/>
          </w:tcPr>
          <w:p w14:paraId="6B107F35" w14:textId="77777777" w:rsidR="00002396" w:rsidRDefault="00002396">
            <w:pPr>
              <w:spacing w:line="240" w:lineRule="auto"/>
            </w:pPr>
            <w:r>
              <w:t>31,7</w:t>
            </w:r>
          </w:p>
        </w:tc>
      </w:tr>
      <w:tr w:rsidR="00002396" w14:paraId="394E076D" w14:textId="77777777" w:rsidTr="0041646E">
        <w:trPr>
          <w:cantSplit/>
          <w:jc w:val="center"/>
        </w:trPr>
        <w:tc>
          <w:tcPr>
            <w:tcW w:w="2267" w:type="dxa"/>
            <w:vAlign w:val="center"/>
          </w:tcPr>
          <w:p w14:paraId="0BDD8230" w14:textId="77777777" w:rsidR="00002396" w:rsidRDefault="00002396">
            <w:pPr>
              <w:spacing w:line="240" w:lineRule="auto"/>
            </w:pPr>
            <w:r>
              <w:t>La Rivera</w:t>
            </w:r>
          </w:p>
        </w:tc>
        <w:tc>
          <w:tcPr>
            <w:tcW w:w="2266" w:type="dxa"/>
            <w:vAlign w:val="center"/>
          </w:tcPr>
          <w:p w14:paraId="4BD82B33" w14:textId="77777777" w:rsidR="00002396" w:rsidRDefault="00002396">
            <w:pPr>
              <w:spacing w:line="240" w:lineRule="auto"/>
            </w:pPr>
            <w:r>
              <w:t>1.600,0</w:t>
            </w:r>
          </w:p>
        </w:tc>
        <w:tc>
          <w:tcPr>
            <w:tcW w:w="2265" w:type="dxa"/>
            <w:vAlign w:val="center"/>
          </w:tcPr>
          <w:p w14:paraId="3EFE3378" w14:textId="77777777" w:rsidR="00002396" w:rsidRDefault="00002396">
            <w:pPr>
              <w:spacing w:line="240" w:lineRule="auto"/>
            </w:pPr>
            <w:r>
              <w:t>160,0</w:t>
            </w:r>
          </w:p>
        </w:tc>
        <w:tc>
          <w:tcPr>
            <w:tcW w:w="2264" w:type="dxa"/>
            <w:vAlign w:val="center"/>
          </w:tcPr>
          <w:p w14:paraId="39096AAB" w14:textId="77777777" w:rsidR="00002396" w:rsidRDefault="00002396">
            <w:pPr>
              <w:spacing w:line="240" w:lineRule="auto"/>
            </w:pPr>
            <w:r>
              <w:t>32,0</w:t>
            </w:r>
          </w:p>
        </w:tc>
      </w:tr>
      <w:tr w:rsidR="00002396" w14:paraId="2DA21895" w14:textId="77777777" w:rsidTr="0041646E">
        <w:trPr>
          <w:cantSplit/>
          <w:jc w:val="center"/>
        </w:trPr>
        <w:tc>
          <w:tcPr>
            <w:tcW w:w="2267" w:type="dxa"/>
            <w:vAlign w:val="center"/>
          </w:tcPr>
          <w:p w14:paraId="017FAA42" w14:textId="77777777" w:rsidR="00002396" w:rsidRDefault="00002396">
            <w:pPr>
              <w:spacing w:line="240" w:lineRule="auto"/>
            </w:pPr>
            <w:r>
              <w:t>Nuevo Líbano</w:t>
            </w:r>
          </w:p>
        </w:tc>
        <w:tc>
          <w:tcPr>
            <w:tcW w:w="2266" w:type="dxa"/>
            <w:vAlign w:val="center"/>
          </w:tcPr>
          <w:p w14:paraId="19B3484C" w14:textId="77777777" w:rsidR="00002396" w:rsidRDefault="00002396">
            <w:pPr>
              <w:spacing w:line="240" w:lineRule="auto"/>
            </w:pPr>
            <w:r>
              <w:t>7.640,3</w:t>
            </w:r>
          </w:p>
        </w:tc>
        <w:tc>
          <w:tcPr>
            <w:tcW w:w="2265" w:type="dxa"/>
            <w:vAlign w:val="center"/>
          </w:tcPr>
          <w:p w14:paraId="0DE9466F" w14:textId="77777777" w:rsidR="00002396" w:rsidRDefault="00002396">
            <w:pPr>
              <w:spacing w:line="240" w:lineRule="auto"/>
            </w:pPr>
            <w:r>
              <w:t>764,0</w:t>
            </w:r>
          </w:p>
        </w:tc>
        <w:tc>
          <w:tcPr>
            <w:tcW w:w="2264" w:type="dxa"/>
            <w:vAlign w:val="center"/>
          </w:tcPr>
          <w:p w14:paraId="493FBF7E" w14:textId="77777777" w:rsidR="00002396" w:rsidRDefault="00002396">
            <w:pPr>
              <w:spacing w:line="240" w:lineRule="auto"/>
            </w:pPr>
            <w:r>
              <w:t>152,8</w:t>
            </w:r>
          </w:p>
        </w:tc>
      </w:tr>
      <w:tr w:rsidR="00002396" w14:paraId="15CBFA12" w14:textId="77777777" w:rsidTr="0041646E">
        <w:trPr>
          <w:cantSplit/>
          <w:jc w:val="center"/>
        </w:trPr>
        <w:tc>
          <w:tcPr>
            <w:tcW w:w="2267" w:type="dxa"/>
            <w:vAlign w:val="center"/>
          </w:tcPr>
          <w:p w14:paraId="3E95D928" w14:textId="77777777" w:rsidR="00002396" w:rsidRDefault="00002396">
            <w:pPr>
              <w:spacing w:line="240" w:lineRule="auto"/>
            </w:pPr>
            <w:r>
              <w:t>Janta</w:t>
            </w:r>
          </w:p>
        </w:tc>
        <w:tc>
          <w:tcPr>
            <w:tcW w:w="2266" w:type="dxa"/>
            <w:vAlign w:val="center"/>
          </w:tcPr>
          <w:p w14:paraId="15B8A2E2" w14:textId="77777777" w:rsidR="00002396" w:rsidRDefault="00002396">
            <w:pPr>
              <w:spacing w:line="240" w:lineRule="auto"/>
            </w:pPr>
            <w:r>
              <w:t>838,7</w:t>
            </w:r>
          </w:p>
        </w:tc>
        <w:tc>
          <w:tcPr>
            <w:tcW w:w="2265" w:type="dxa"/>
            <w:vAlign w:val="center"/>
          </w:tcPr>
          <w:p w14:paraId="674D7949" w14:textId="77777777" w:rsidR="00002396" w:rsidRDefault="00002396">
            <w:pPr>
              <w:spacing w:line="240" w:lineRule="auto"/>
            </w:pPr>
            <w:r>
              <w:t>83,9</w:t>
            </w:r>
          </w:p>
        </w:tc>
        <w:tc>
          <w:tcPr>
            <w:tcW w:w="2264" w:type="dxa"/>
            <w:vAlign w:val="center"/>
          </w:tcPr>
          <w:p w14:paraId="2232E6C6" w14:textId="77777777" w:rsidR="00002396" w:rsidRDefault="00002396">
            <w:pPr>
              <w:spacing w:line="240" w:lineRule="auto"/>
            </w:pPr>
            <w:r>
              <w:t>16,8</w:t>
            </w:r>
          </w:p>
        </w:tc>
      </w:tr>
      <w:tr w:rsidR="00002396" w14:paraId="5DB42958" w14:textId="77777777" w:rsidTr="0041646E">
        <w:trPr>
          <w:cantSplit/>
          <w:jc w:val="center"/>
        </w:trPr>
        <w:tc>
          <w:tcPr>
            <w:tcW w:w="2267" w:type="dxa"/>
            <w:vAlign w:val="center"/>
          </w:tcPr>
          <w:p w14:paraId="4D454A99" w14:textId="77777777" w:rsidR="00002396" w:rsidRDefault="00002396">
            <w:pPr>
              <w:spacing w:line="240" w:lineRule="auto"/>
            </w:pPr>
            <w:r>
              <w:t>Mistól</w:t>
            </w:r>
          </w:p>
        </w:tc>
        <w:tc>
          <w:tcPr>
            <w:tcW w:w="2266" w:type="dxa"/>
            <w:vAlign w:val="center"/>
          </w:tcPr>
          <w:p w14:paraId="764BA30D" w14:textId="77777777" w:rsidR="00002396" w:rsidRDefault="00002396">
            <w:pPr>
              <w:spacing w:line="240" w:lineRule="auto"/>
            </w:pPr>
            <w:r>
              <w:t>669,4</w:t>
            </w:r>
          </w:p>
        </w:tc>
        <w:tc>
          <w:tcPr>
            <w:tcW w:w="2265" w:type="dxa"/>
            <w:vAlign w:val="center"/>
          </w:tcPr>
          <w:p w14:paraId="4EBB10E6" w14:textId="77777777" w:rsidR="00002396" w:rsidRDefault="00002396">
            <w:pPr>
              <w:spacing w:line="240" w:lineRule="auto"/>
            </w:pPr>
            <w:r>
              <w:t>66,9</w:t>
            </w:r>
          </w:p>
        </w:tc>
        <w:tc>
          <w:tcPr>
            <w:tcW w:w="2264" w:type="dxa"/>
            <w:vAlign w:val="center"/>
          </w:tcPr>
          <w:p w14:paraId="79842609" w14:textId="77777777" w:rsidR="00002396" w:rsidRDefault="00002396">
            <w:pPr>
              <w:spacing w:line="240" w:lineRule="auto"/>
            </w:pPr>
            <w:r>
              <w:t>13,4</w:t>
            </w:r>
          </w:p>
        </w:tc>
      </w:tr>
    </w:tbl>
    <w:p w14:paraId="7094EE87" w14:textId="77FA069D" w:rsidR="008D09BA" w:rsidRPr="008E3A1A" w:rsidRDefault="008D09BA" w:rsidP="008E3A1A">
      <w:pPr>
        <w:spacing w:after="0" w:line="240" w:lineRule="auto"/>
        <w:jc w:val="center"/>
        <w:rPr>
          <w:sz w:val="20"/>
        </w:rPr>
      </w:pPr>
      <w:r w:rsidRPr="008E3A1A">
        <w:t>Tabla 2. Concentraciones de arsénico en aguas subterráneas del Cono Aluvial del río Dulce.</w:t>
      </w:r>
      <w:r w:rsidRPr="008E3A1A">
        <w:br/>
        <w:t xml:space="preserve">Fuente: adaptado de </w:t>
      </w:r>
      <w:proofErr w:type="spellStart"/>
      <w:r w:rsidRPr="008E3A1A">
        <w:t>Storniolo</w:t>
      </w:r>
      <w:proofErr w:type="spellEnd"/>
      <w:r w:rsidRPr="008E3A1A">
        <w:t xml:space="preserve"> y Martín</w:t>
      </w:r>
      <w:r w:rsidR="008E3A1A">
        <w:t xml:space="preserve">. </w:t>
      </w:r>
      <w:r w:rsidRPr="008E3A1A">
        <w:t>El arsénico en Santiago del Estero, un problema real.</w:t>
      </w:r>
      <w:r w:rsidRPr="008E3A1A">
        <w:br/>
        <w:t>Nota: elaboración propia de cocientes respecto de 10 µg/L y 50 µg/L.</w:t>
      </w:r>
    </w:p>
    <w:p w14:paraId="7E933724" w14:textId="352FA604" w:rsidR="00002396" w:rsidRDefault="00002396" w:rsidP="008E3A1A">
      <w:pPr>
        <w:spacing w:before="120" w:after="120"/>
        <w:ind w:firstLine="709"/>
        <w:jc w:val="both"/>
      </w:pPr>
      <w:r>
        <w:t>La magnitud de estos registros evidencia la importancia sanitaria de evitar el consumo de pozos someros sin control periódico. Aunque los valores corresponden a antecedentes bibliográficos y no necesariamente representan la calidad actual del agua distribuida por las obras recientes, permiten dimensionar el riesgo histórico al que estuvieron expuestas las poblaciones rurales que dependían de fuentes subterráneas de baja profundidad.</w:t>
      </w:r>
    </w:p>
    <w:p w14:paraId="70B75E08" w14:textId="77777777" w:rsidR="00002396" w:rsidRDefault="00002396" w:rsidP="00002396">
      <w:pPr>
        <w:spacing w:after="120"/>
        <w:ind w:firstLine="709"/>
        <w:jc w:val="both"/>
      </w:pPr>
      <w:r>
        <w:t xml:space="preserve">Desde el punto de vista hidrogeológico, estos resultados refuerzan la necesidad de diferenciar entre las fuentes tradicionales de abastecimiento y los sistemas actuales de provisión de agua segura. Las perforaciones profundas, los sistemas de conducción y otras obras hídricas </w:t>
      </w:r>
      <w:r>
        <w:lastRenderedPageBreak/>
        <w:t>implementadas constituyen una respuesta relevante para reducir la exposición al arsénico, siempre que se sostengan controles de calidad, mantenimiento, continuidad del servicio y gestión institucional adecuada.</w:t>
      </w:r>
    </w:p>
    <w:p w14:paraId="459F3FC8" w14:textId="77777777" w:rsidR="00002396" w:rsidRDefault="00002396" w:rsidP="00002396">
      <w:pPr>
        <w:spacing w:after="120"/>
        <w:ind w:firstLine="709"/>
        <w:jc w:val="both"/>
      </w:pPr>
      <w:r>
        <w:t>Los avances del relevamiento permiten reconocer tres dimensiones centrales. En primer lugar, la infraestructura hídrica tiene un efecto directo sobre la reducción del riesgo sanitario cuando reemplaza o disminuye el uso de fuentes someras afectadas. En segundo lugar, el impacto real de las obras depende de su sostenibilidad: mantenimiento, monitoreo, continuidad operativa, disponibilidad institucional y capacidad de respuesta ante fallas. En tercer lugar, la percepción comunitaria y la memoria colectiva son fundamentales para evaluar cómo las obras modifican la relación histórica de la población con el agua.</w:t>
      </w:r>
    </w:p>
    <w:p w14:paraId="095EC4A2" w14:textId="77777777" w:rsidR="00002396" w:rsidRDefault="00002396" w:rsidP="00002396">
      <w:pPr>
        <w:spacing w:after="120"/>
        <w:ind w:firstLine="709"/>
        <w:jc w:val="both"/>
      </w:pPr>
      <w:r>
        <w:t>En términos comunitarios, el acceso a agua segura se vincula con mejoras percibidas en la salud, el bienestar cotidiano, la organización familiar y la posibilidad de desarrollar actividades productivas de baja escala, como huertas familiares u otras prácticas asociadas al uso seguro del recurso. Estos aspectos muestran que la infraestructura hídrica no debe evaluarse únicamente como obra física, sino como parte de una estrategia territorial de desarrollo sostenible.</w:t>
      </w:r>
    </w:p>
    <w:p w14:paraId="13AA40B0" w14:textId="77777777" w:rsidR="00002396" w:rsidRDefault="00002396" w:rsidP="00002396">
      <w:pPr>
        <w:spacing w:after="120"/>
        <w:ind w:firstLine="709"/>
        <w:jc w:val="both"/>
      </w:pPr>
      <w:r>
        <w:t>Por lo tanto, la línea de base confirma que la problemática del arsénico en María Elena, Colonia Rasquín y localidades vinculadas al Cono Aluvial del río Dulce requiere un abordaje integrado. La evidencia hidroquímica histórica justifica la necesidad de obras de abastecimiento seguro, mientras que la evaluación social y comunitaria permite comprender los beneficios percibidos, las limitaciones existentes y las condiciones necesarias para sostener el acceso al agua segura en el tiempo.</w:t>
      </w:r>
    </w:p>
    <w:p w14:paraId="6081B0B5" w14:textId="77777777" w:rsidR="0048738B" w:rsidRPr="00005284" w:rsidRDefault="000D318D">
      <w:pPr>
        <w:spacing w:before="120" w:after="0"/>
      </w:pPr>
      <w:r w:rsidRPr="00005284">
        <w:rPr>
          <w:b/>
        </w:rPr>
        <w:t>7. Discusión</w:t>
      </w:r>
    </w:p>
    <w:p w14:paraId="6A650683" w14:textId="77777777" w:rsidR="0048738B" w:rsidRPr="0035134A" w:rsidRDefault="000D318D">
      <w:pPr>
        <w:spacing w:after="120"/>
        <w:ind w:firstLine="425"/>
        <w:jc w:val="both"/>
      </w:pPr>
      <w:r w:rsidRPr="0035134A">
        <w:rPr>
          <w:color w:val="000000"/>
        </w:rPr>
        <w:t>El análisis de María Elena y Colonia Rasquín muestra que el abordaje del arsénico en aguas subterráneas requiere una mirada integrada. La identificación del origen geológico y de los mecanismos de movilización del arsénico es indispensable, pero insuficiente si no se considera la forma en que la población accede efectivamente al agua y la capacidad institucional para sostener las soluciones implementadas.</w:t>
      </w:r>
    </w:p>
    <w:p w14:paraId="40B7CBF9" w14:textId="77777777" w:rsidR="0048738B" w:rsidRPr="0035134A" w:rsidRDefault="000D318D">
      <w:pPr>
        <w:spacing w:after="120"/>
        <w:ind w:firstLine="425"/>
        <w:jc w:val="both"/>
      </w:pPr>
      <w:r w:rsidRPr="0035134A">
        <w:rPr>
          <w:color w:val="000000"/>
        </w:rPr>
        <w:t xml:space="preserve">La problemática se sitúa en la intersección entre bienes naturales, salud pública, infraestructura, derechos y sostenibilidad. En este sentido, las obras hídricas constituyen una respuesta relevante frente a una exposición histórica, pero su eficacia depende de factores </w:t>
      </w:r>
      <w:r w:rsidRPr="0035134A">
        <w:rPr>
          <w:color w:val="000000"/>
        </w:rPr>
        <w:lastRenderedPageBreak/>
        <w:t>posteriores a la construcción: operación, mantenimiento, control de calidad, financiamiento, participación comunitaria y educación ambiental.</w:t>
      </w:r>
    </w:p>
    <w:p w14:paraId="6618D703" w14:textId="77777777" w:rsidR="00073A32" w:rsidRDefault="00002396">
      <w:pPr>
        <w:spacing w:after="0"/>
        <w:ind w:firstLine="397"/>
        <w:jc w:val="both"/>
      </w:pPr>
      <w:r>
        <w:rPr>
          <w:color w:val="000000"/>
        </w:rPr>
        <w:t>En el caso de asentamientos poblacionales concentrados, la bibliografía provincial señala la necesidad de asegurar la explotación y distribución de una fuente de agua segura con contenidos de arsénico dentro de los límites de tolerancia, mientras que para población rural dispersa pueden requerirse soluciones complementarias de bajo costo y control comunitario. Esta distinción resulta relevante para interpretar el alcance de las obras hídricas en María Elena y Colonia Rasquín: su valor no reside solo en la ejecución física, sino en su capacidad de sostener una provisión confiable en el tiempo.</w:t>
      </w:r>
    </w:p>
    <w:p w14:paraId="61FD79D6" w14:textId="77777777" w:rsidR="0048738B" w:rsidRPr="0035134A" w:rsidRDefault="000D318D">
      <w:pPr>
        <w:spacing w:after="120"/>
        <w:ind w:firstLine="425"/>
        <w:jc w:val="both"/>
      </w:pPr>
      <w:r w:rsidRPr="0035134A">
        <w:rPr>
          <w:color w:val="000000"/>
        </w:rPr>
        <w:t>La memoria oral permite recuperar la experiencia de las familias que durante años recurrieron a pozos someros como fuente cotidiana de abastecimiento. Esta dimensión aporta información que no siempre queda reflejada en los registros técnicos, pero que resulta fundamental para comprender la aceptación de las obras, la confianza en el nuevo sistema y las prácticas que podrían reaparecer ante fallas o interrupciones del servicio.</w:t>
      </w:r>
    </w:p>
    <w:p w14:paraId="5437E839" w14:textId="77777777" w:rsidR="0048738B" w:rsidRPr="0035134A" w:rsidRDefault="000D318D">
      <w:pPr>
        <w:spacing w:after="120"/>
        <w:ind w:firstLine="425"/>
        <w:jc w:val="both"/>
      </w:pPr>
      <w:r w:rsidRPr="0035134A">
        <w:rPr>
          <w:color w:val="000000"/>
        </w:rPr>
        <w:t>Asimismo, la experiencia de estas localidades puede aportar criterios para otras comunidades del Gran Chaco con problemáticas similares. La combinación de información hidrogeológica, monitoreo de calidad de agua y evaluación social permite orientar decisiones públicas más ajustadas a la realidad territorial.</w:t>
      </w:r>
    </w:p>
    <w:p w14:paraId="7FD4B89B" w14:textId="77777777" w:rsidR="0048738B" w:rsidRPr="0035134A" w:rsidRDefault="000D318D">
      <w:pPr>
        <w:spacing w:before="120" w:after="0"/>
      </w:pPr>
      <w:r w:rsidRPr="0035134A">
        <w:rPr>
          <w:b/>
          <w:color w:val="000000"/>
        </w:rPr>
        <w:t>8. Conclusiones</w:t>
      </w:r>
    </w:p>
    <w:p w14:paraId="1EBB13B6" w14:textId="77777777" w:rsidR="0048738B" w:rsidRPr="0035134A" w:rsidRDefault="000D318D">
      <w:pPr>
        <w:pStyle w:val="Listaconvietas"/>
        <w:spacing w:after="60"/>
        <w:jc w:val="both"/>
      </w:pPr>
      <w:r w:rsidRPr="0035134A">
        <w:rPr>
          <w:color w:val="000000"/>
        </w:rPr>
        <w:t>María Elena y Colonia Rasquín presentan una problemática histórica de arsénico en aguas subterráneas, asociada a condiciones geológicas e hidrogeoquímicas del Cono Aluvial del río Dulce.</w:t>
      </w:r>
    </w:p>
    <w:p w14:paraId="09EFFB45" w14:textId="77777777" w:rsidR="0048738B" w:rsidRPr="0035134A" w:rsidRDefault="000D318D">
      <w:pPr>
        <w:pStyle w:val="Listaconvietas"/>
        <w:spacing w:after="60"/>
        <w:jc w:val="both"/>
      </w:pPr>
      <w:r w:rsidRPr="0035134A">
        <w:rPr>
          <w:color w:val="000000"/>
        </w:rPr>
        <w:t>El abastecimiento mediante pozos someros configuró un riesgo sanitario relevante, especialmente por la exposición crónica al arsénico y por la dificultad de acceso sostenido a fuentes seguras.</w:t>
      </w:r>
    </w:p>
    <w:p w14:paraId="56874AD9" w14:textId="77777777" w:rsidR="0048738B" w:rsidRPr="0035134A" w:rsidRDefault="000D318D">
      <w:pPr>
        <w:pStyle w:val="Listaconvietas"/>
        <w:spacing w:after="60"/>
        <w:jc w:val="both"/>
      </w:pPr>
      <w:r w:rsidRPr="0035134A">
        <w:rPr>
          <w:color w:val="000000"/>
        </w:rPr>
        <w:t>Las obras de infraestructura hídrica implementadas representan una respuesta significativa para reducir la exposición y mejorar el acceso al agua segura.</w:t>
      </w:r>
    </w:p>
    <w:p w14:paraId="1F4F5D4C" w14:textId="77777777" w:rsidR="0048738B" w:rsidRPr="0035134A" w:rsidRDefault="000D318D">
      <w:pPr>
        <w:pStyle w:val="Listaconvietas"/>
        <w:spacing w:after="60"/>
        <w:jc w:val="both"/>
      </w:pPr>
      <w:r w:rsidRPr="0035134A">
        <w:rPr>
          <w:color w:val="000000"/>
        </w:rPr>
        <w:t>El impacto de dichas obras debe evaluarse de manera integral, considerando calidad del agua, salud, percepción comunitaria, memoria colectiva, continuidad operativa y sostenibilidad institucional.</w:t>
      </w:r>
    </w:p>
    <w:p w14:paraId="42BAE6C1" w14:textId="77777777" w:rsidR="0048738B" w:rsidRPr="0035134A" w:rsidRDefault="000D318D">
      <w:pPr>
        <w:pStyle w:val="Listaconvietas"/>
        <w:spacing w:after="60"/>
        <w:jc w:val="both"/>
      </w:pPr>
      <w:r w:rsidRPr="0035134A">
        <w:rPr>
          <w:color w:val="000000"/>
        </w:rPr>
        <w:t>La sostenibilidad del sistema requiere monitoreo periódico, mantenimiento, educación comunitaria, actualización del inventario de fuentes y fortalecimiento de la gestión local.</w:t>
      </w:r>
    </w:p>
    <w:p w14:paraId="17335228" w14:textId="77777777" w:rsidR="0048738B" w:rsidRPr="0035134A" w:rsidRDefault="000D318D">
      <w:pPr>
        <w:pStyle w:val="Listaconvietas"/>
        <w:spacing w:after="60"/>
        <w:jc w:val="both"/>
      </w:pPr>
      <w:r w:rsidRPr="0035134A">
        <w:rPr>
          <w:color w:val="000000"/>
        </w:rPr>
        <w:lastRenderedPageBreak/>
        <w:t>La experiencia puede aportar criterios técnicos y sociales replicables en otras localidades rurales del Gran Chaco afectadas por problemáticas de calidad de agua.</w:t>
      </w:r>
    </w:p>
    <w:p w14:paraId="26E38C6B" w14:textId="77777777" w:rsidR="0048738B" w:rsidRPr="0035134A" w:rsidRDefault="000D318D">
      <w:pPr>
        <w:spacing w:before="120" w:after="0"/>
      </w:pPr>
      <w:r w:rsidRPr="0035134A">
        <w:rPr>
          <w:b/>
          <w:color w:val="000000"/>
        </w:rPr>
        <w:t>9. Recomendaciones</w:t>
      </w:r>
    </w:p>
    <w:p w14:paraId="028EAE15" w14:textId="77777777" w:rsidR="0048738B" w:rsidRPr="0035134A" w:rsidRDefault="000D318D">
      <w:pPr>
        <w:pStyle w:val="Listaconvietas"/>
        <w:spacing w:after="60"/>
        <w:jc w:val="both"/>
      </w:pPr>
      <w:r w:rsidRPr="0035134A">
        <w:rPr>
          <w:color w:val="000000"/>
        </w:rPr>
        <w:t>Mantener controles periódicos de calidad del agua, con especial atención al arsénico y a otros parámetros relevantes para consumo humano.</w:t>
      </w:r>
    </w:p>
    <w:p w14:paraId="36B8FA80" w14:textId="77777777" w:rsidR="0048738B" w:rsidRPr="0035134A" w:rsidRDefault="000D318D">
      <w:pPr>
        <w:pStyle w:val="Listaconvietas"/>
        <w:spacing w:after="60"/>
        <w:jc w:val="both"/>
      </w:pPr>
      <w:r w:rsidRPr="0035134A">
        <w:rPr>
          <w:color w:val="000000"/>
        </w:rPr>
        <w:t>Actualizar el inventario de pozos, perforaciones, fuentes alternativas y obras de abastecimiento, incorporando información georreferenciada.</w:t>
      </w:r>
    </w:p>
    <w:p w14:paraId="716ED40B" w14:textId="77777777" w:rsidR="0048738B" w:rsidRPr="0035134A" w:rsidRDefault="000D318D">
      <w:pPr>
        <w:pStyle w:val="Listaconvietas"/>
        <w:spacing w:after="60"/>
        <w:jc w:val="both"/>
      </w:pPr>
      <w:r w:rsidRPr="0035134A">
        <w:rPr>
          <w:color w:val="000000"/>
        </w:rPr>
        <w:t>Fortalecer la educación comunitaria sobre riesgos del arsénico, uso seguro del agua y prevención del retorno a fuentes someras sin control.</w:t>
      </w:r>
    </w:p>
    <w:p w14:paraId="43C9AF25" w14:textId="77777777" w:rsidR="0048738B" w:rsidRPr="0035134A" w:rsidRDefault="000D318D">
      <w:pPr>
        <w:pStyle w:val="Listaconvietas"/>
        <w:spacing w:after="60"/>
        <w:jc w:val="both"/>
      </w:pPr>
      <w:r w:rsidRPr="0035134A">
        <w:rPr>
          <w:color w:val="000000"/>
        </w:rPr>
        <w:t>Promover mecanismos locales de seguimiento, mantenimiento y comunicación entre comunidad, organismos técnicos y autoridades responsables.</w:t>
      </w:r>
    </w:p>
    <w:p w14:paraId="2B50EFBD" w14:textId="77777777" w:rsidR="0048738B" w:rsidRPr="0035134A" w:rsidRDefault="000D318D">
      <w:pPr>
        <w:pStyle w:val="Listaconvietas"/>
        <w:spacing w:after="60"/>
        <w:jc w:val="both"/>
      </w:pPr>
      <w:r w:rsidRPr="0035134A">
        <w:rPr>
          <w:color w:val="000000"/>
        </w:rPr>
        <w:t>Sistematizar la información técnica y social en una base de datos que permita monitoreo, transferencia y toma de decisiones.</w:t>
      </w:r>
    </w:p>
    <w:p w14:paraId="5B0A0292" w14:textId="33E35AD0" w:rsidR="0048738B" w:rsidRPr="0035134A" w:rsidRDefault="00005284">
      <w:pPr>
        <w:spacing w:before="120" w:after="0"/>
      </w:pPr>
      <w:r>
        <w:rPr>
          <w:b/>
          <w:color w:val="000000"/>
        </w:rPr>
        <w:t xml:space="preserve">10. </w:t>
      </w:r>
      <w:r w:rsidR="000D318D" w:rsidRPr="0035134A">
        <w:rPr>
          <w:b/>
          <w:color w:val="000000"/>
        </w:rPr>
        <w:t>Referencias bibliográficas</w:t>
      </w:r>
    </w:p>
    <w:p w14:paraId="44C80635" w14:textId="77777777" w:rsidR="00005284" w:rsidRPr="00005284" w:rsidRDefault="00005284" w:rsidP="00005284">
      <w:pPr>
        <w:spacing w:after="120"/>
        <w:ind w:left="425" w:hanging="425"/>
        <w:jc w:val="both"/>
        <w:rPr>
          <w:color w:val="000000"/>
        </w:rPr>
      </w:pPr>
      <w:r w:rsidRPr="00005284">
        <w:rPr>
          <w:color w:val="000000"/>
        </w:rPr>
        <w:t xml:space="preserve">Américo, M. R., Farías, B. M., Cortés, J. C., </w:t>
      </w:r>
      <w:proofErr w:type="spellStart"/>
      <w:r w:rsidRPr="00005284">
        <w:rPr>
          <w:color w:val="000000"/>
        </w:rPr>
        <w:t>Thir</w:t>
      </w:r>
      <w:proofErr w:type="spellEnd"/>
      <w:r w:rsidRPr="00005284">
        <w:rPr>
          <w:color w:val="000000"/>
        </w:rPr>
        <w:t xml:space="preserve">, J. M., &amp; </w:t>
      </w:r>
      <w:proofErr w:type="spellStart"/>
      <w:r w:rsidRPr="00005284">
        <w:rPr>
          <w:color w:val="000000"/>
        </w:rPr>
        <w:t>Storniolo</w:t>
      </w:r>
      <w:proofErr w:type="spellEnd"/>
      <w:r w:rsidRPr="00005284">
        <w:rPr>
          <w:color w:val="000000"/>
        </w:rPr>
        <w:t xml:space="preserve">, A. del R. (2000). Identificación de una capa de ceniza volcánica somera y su implicancia en el contenido del oligoelemento arsénico en el acuífero libre, Dpto. Robles, Santiago del Estero, Argentina. </w:t>
      </w:r>
      <w:proofErr w:type="spellStart"/>
      <w:r w:rsidRPr="00005284">
        <w:rPr>
          <w:i/>
          <w:iCs/>
          <w:color w:val="000000"/>
        </w:rPr>
        <w:t>Águas</w:t>
      </w:r>
      <w:proofErr w:type="spellEnd"/>
      <w:r w:rsidRPr="00005284">
        <w:rPr>
          <w:i/>
          <w:iCs/>
          <w:color w:val="000000"/>
        </w:rPr>
        <w:t xml:space="preserve"> </w:t>
      </w:r>
      <w:proofErr w:type="spellStart"/>
      <w:r w:rsidRPr="00005284">
        <w:rPr>
          <w:i/>
          <w:iCs/>
          <w:color w:val="000000"/>
        </w:rPr>
        <w:t>Subterrâneas</w:t>
      </w:r>
      <w:proofErr w:type="spellEnd"/>
      <w:r w:rsidRPr="00005284">
        <w:rPr>
          <w:color w:val="000000"/>
        </w:rPr>
        <w:t>.</w:t>
      </w:r>
    </w:p>
    <w:p w14:paraId="48A307C7" w14:textId="77777777" w:rsidR="00005284" w:rsidRPr="00005284" w:rsidRDefault="00005284" w:rsidP="00005284">
      <w:pPr>
        <w:spacing w:after="120"/>
        <w:ind w:left="425" w:hanging="425"/>
        <w:jc w:val="both"/>
        <w:rPr>
          <w:color w:val="000000"/>
          <w:lang w:val="en-US"/>
        </w:rPr>
      </w:pPr>
      <w:proofErr w:type="spellStart"/>
      <w:r w:rsidRPr="00005284">
        <w:rPr>
          <w:color w:val="000000"/>
        </w:rPr>
        <w:t>Bhattacharya</w:t>
      </w:r>
      <w:proofErr w:type="spellEnd"/>
      <w:r w:rsidRPr="00005284">
        <w:rPr>
          <w:color w:val="000000"/>
        </w:rPr>
        <w:t xml:space="preserve">, P., </w:t>
      </w:r>
      <w:proofErr w:type="spellStart"/>
      <w:r w:rsidRPr="00005284">
        <w:rPr>
          <w:color w:val="000000"/>
        </w:rPr>
        <w:t>Claesson</w:t>
      </w:r>
      <w:proofErr w:type="spellEnd"/>
      <w:r w:rsidRPr="00005284">
        <w:rPr>
          <w:color w:val="000000"/>
        </w:rPr>
        <w:t xml:space="preserve">, M., </w:t>
      </w:r>
      <w:proofErr w:type="spellStart"/>
      <w:r w:rsidRPr="00005284">
        <w:rPr>
          <w:color w:val="000000"/>
        </w:rPr>
        <w:t>Bundschuh</w:t>
      </w:r>
      <w:proofErr w:type="spellEnd"/>
      <w:r w:rsidRPr="00005284">
        <w:rPr>
          <w:color w:val="000000"/>
        </w:rPr>
        <w:t xml:space="preserve">, J., </w:t>
      </w:r>
      <w:proofErr w:type="spellStart"/>
      <w:r w:rsidRPr="00005284">
        <w:rPr>
          <w:color w:val="000000"/>
        </w:rPr>
        <w:t>Sracek</w:t>
      </w:r>
      <w:proofErr w:type="spellEnd"/>
      <w:r w:rsidRPr="00005284">
        <w:rPr>
          <w:color w:val="000000"/>
        </w:rPr>
        <w:t xml:space="preserve">, O., </w:t>
      </w:r>
      <w:proofErr w:type="spellStart"/>
      <w:r w:rsidRPr="00005284">
        <w:rPr>
          <w:color w:val="000000"/>
        </w:rPr>
        <w:t>Fagerberg</w:t>
      </w:r>
      <w:proofErr w:type="spellEnd"/>
      <w:r w:rsidRPr="00005284">
        <w:rPr>
          <w:color w:val="000000"/>
        </w:rPr>
        <w:t xml:space="preserve">, J., </w:t>
      </w:r>
      <w:proofErr w:type="spellStart"/>
      <w:r w:rsidRPr="00005284">
        <w:rPr>
          <w:color w:val="000000"/>
        </w:rPr>
        <w:t>Jacks</w:t>
      </w:r>
      <w:proofErr w:type="spellEnd"/>
      <w:r w:rsidRPr="00005284">
        <w:rPr>
          <w:color w:val="000000"/>
        </w:rPr>
        <w:t xml:space="preserve">, G., Martin, R. A., </w:t>
      </w:r>
      <w:proofErr w:type="spellStart"/>
      <w:r w:rsidRPr="00005284">
        <w:rPr>
          <w:color w:val="000000"/>
        </w:rPr>
        <w:t>Storniolo</w:t>
      </w:r>
      <w:proofErr w:type="spellEnd"/>
      <w:r w:rsidRPr="00005284">
        <w:rPr>
          <w:color w:val="000000"/>
        </w:rPr>
        <w:t xml:space="preserve">, A. del R., &amp; </w:t>
      </w:r>
      <w:proofErr w:type="spellStart"/>
      <w:r w:rsidRPr="00005284">
        <w:rPr>
          <w:color w:val="000000"/>
        </w:rPr>
        <w:t>Thir</w:t>
      </w:r>
      <w:proofErr w:type="spellEnd"/>
      <w:r w:rsidRPr="00005284">
        <w:rPr>
          <w:color w:val="000000"/>
        </w:rPr>
        <w:t xml:space="preserve">, J. M. (2006). </w:t>
      </w:r>
      <w:r w:rsidRPr="00005284">
        <w:rPr>
          <w:color w:val="000000"/>
          <w:lang w:val="en-US"/>
        </w:rPr>
        <w:t xml:space="preserve">Distribution and mobility of arsenic in the Río Dulce alluvial aquifers in Santiago del Estero Province, Argentina. </w:t>
      </w:r>
      <w:r w:rsidRPr="00005284">
        <w:rPr>
          <w:i/>
          <w:iCs/>
          <w:color w:val="000000"/>
          <w:lang w:val="en-US"/>
        </w:rPr>
        <w:t>Science of the Total Environment, 358</w:t>
      </w:r>
      <w:r w:rsidRPr="00005284">
        <w:rPr>
          <w:color w:val="000000"/>
          <w:lang w:val="en-US"/>
        </w:rPr>
        <w:t>(1–3), 97–120.</w:t>
      </w:r>
    </w:p>
    <w:p w14:paraId="316E460B" w14:textId="77777777" w:rsidR="00005284" w:rsidRDefault="00005284" w:rsidP="00005284">
      <w:pPr>
        <w:spacing w:after="120"/>
        <w:ind w:left="425" w:hanging="425"/>
        <w:jc w:val="both"/>
        <w:rPr>
          <w:color w:val="000000"/>
        </w:rPr>
      </w:pPr>
      <w:r w:rsidRPr="00005284">
        <w:rPr>
          <w:color w:val="000000"/>
          <w:lang w:val="en-US"/>
        </w:rPr>
        <w:t xml:space="preserve">Bundschuh, J., </w:t>
      </w:r>
      <w:proofErr w:type="spellStart"/>
      <w:r w:rsidRPr="00005284">
        <w:rPr>
          <w:color w:val="000000"/>
          <w:lang w:val="en-US"/>
        </w:rPr>
        <w:t>Farías</w:t>
      </w:r>
      <w:proofErr w:type="spellEnd"/>
      <w:r w:rsidRPr="00005284">
        <w:rPr>
          <w:color w:val="000000"/>
          <w:lang w:val="en-US"/>
        </w:rPr>
        <w:t xml:space="preserve">, B., Martin, R., Storniolo, A., Bhattacharya, P., Cortés, J., </w:t>
      </w:r>
      <w:proofErr w:type="spellStart"/>
      <w:r w:rsidRPr="00005284">
        <w:rPr>
          <w:color w:val="000000"/>
          <w:lang w:val="en-US"/>
        </w:rPr>
        <w:t>Bonorino</w:t>
      </w:r>
      <w:proofErr w:type="spellEnd"/>
      <w:r w:rsidRPr="00005284">
        <w:rPr>
          <w:color w:val="000000"/>
          <w:lang w:val="en-US"/>
        </w:rPr>
        <w:t xml:space="preserve">, G., &amp; </w:t>
      </w:r>
      <w:proofErr w:type="spellStart"/>
      <w:r w:rsidRPr="00005284">
        <w:rPr>
          <w:color w:val="000000"/>
          <w:lang w:val="en-US"/>
        </w:rPr>
        <w:t>Albouy</w:t>
      </w:r>
      <w:proofErr w:type="spellEnd"/>
      <w:r w:rsidRPr="00005284">
        <w:rPr>
          <w:color w:val="000000"/>
          <w:lang w:val="en-US"/>
        </w:rPr>
        <w:t>, R. (2004). Groundwater arsenic in the Chaco-</w:t>
      </w:r>
      <w:proofErr w:type="spellStart"/>
      <w:r w:rsidRPr="00005284">
        <w:rPr>
          <w:color w:val="000000"/>
          <w:lang w:val="en-US"/>
        </w:rPr>
        <w:t>Pampean</w:t>
      </w:r>
      <w:proofErr w:type="spellEnd"/>
      <w:r w:rsidRPr="00005284">
        <w:rPr>
          <w:color w:val="000000"/>
          <w:lang w:val="en-US"/>
        </w:rPr>
        <w:t xml:space="preserve"> Plain, Argentina: Case study from </w:t>
      </w:r>
      <w:proofErr w:type="gramStart"/>
      <w:r w:rsidRPr="00005284">
        <w:rPr>
          <w:color w:val="000000"/>
          <w:lang w:val="en-US"/>
        </w:rPr>
        <w:t>Robles county</w:t>
      </w:r>
      <w:proofErr w:type="gramEnd"/>
      <w:r w:rsidRPr="00005284">
        <w:rPr>
          <w:color w:val="000000"/>
          <w:lang w:val="en-US"/>
        </w:rPr>
        <w:t xml:space="preserve">, Santiago del Estero Province. </w:t>
      </w:r>
      <w:proofErr w:type="spellStart"/>
      <w:r w:rsidRPr="00005284">
        <w:rPr>
          <w:i/>
          <w:iCs/>
          <w:color w:val="000000"/>
        </w:rPr>
        <w:t>Applied</w:t>
      </w:r>
      <w:proofErr w:type="spellEnd"/>
      <w:r w:rsidRPr="00005284">
        <w:rPr>
          <w:i/>
          <w:iCs/>
          <w:color w:val="000000"/>
        </w:rPr>
        <w:t xml:space="preserve"> </w:t>
      </w:r>
      <w:proofErr w:type="spellStart"/>
      <w:r w:rsidRPr="00005284">
        <w:rPr>
          <w:i/>
          <w:iCs/>
          <w:color w:val="000000"/>
        </w:rPr>
        <w:t>Geochemistry</w:t>
      </w:r>
      <w:proofErr w:type="spellEnd"/>
      <w:r w:rsidRPr="00005284">
        <w:rPr>
          <w:i/>
          <w:iCs/>
          <w:color w:val="000000"/>
        </w:rPr>
        <w:t>, 19</w:t>
      </w:r>
      <w:r w:rsidRPr="00005284">
        <w:rPr>
          <w:color w:val="000000"/>
        </w:rPr>
        <w:t>(2), 231–243.</w:t>
      </w:r>
    </w:p>
    <w:p w14:paraId="297DB844" w14:textId="5CDB3D0D" w:rsidR="00BD5AAF" w:rsidRPr="00005284" w:rsidRDefault="00BD5AAF" w:rsidP="00005284">
      <w:pPr>
        <w:spacing w:after="120"/>
        <w:ind w:left="425" w:hanging="425"/>
        <w:jc w:val="both"/>
        <w:rPr>
          <w:color w:val="000000"/>
        </w:rPr>
      </w:pPr>
      <w:r w:rsidRPr="00BD5AAF">
        <w:rPr>
          <w:color w:val="000000"/>
        </w:rPr>
        <w:t xml:space="preserve">Gobierno de la Provincia de Santiago del Estero. Ministerio de Obras, Servicios Públicos y Agua, &amp; Ministerio de Salud. (s. f.). </w:t>
      </w:r>
      <w:r w:rsidRPr="00BD5AAF">
        <w:rPr>
          <w:i/>
          <w:iCs/>
          <w:color w:val="000000"/>
        </w:rPr>
        <w:t>Normas provinciales de calidad y control del agua para consumo humano: Bebida y preparación de alimentos. Anexo I</w:t>
      </w:r>
      <w:r w:rsidRPr="00BD5AAF">
        <w:rPr>
          <w:color w:val="000000"/>
        </w:rPr>
        <w:t>. Gobierno de la Provincia de Santiago del Estero.</w:t>
      </w:r>
    </w:p>
    <w:p w14:paraId="3F3B06A1" w14:textId="77777777" w:rsidR="00BD5AAF" w:rsidRDefault="00BD5AAF" w:rsidP="00005284">
      <w:pPr>
        <w:spacing w:after="120"/>
        <w:ind w:left="425" w:hanging="425"/>
        <w:jc w:val="both"/>
        <w:rPr>
          <w:color w:val="000000"/>
        </w:rPr>
      </w:pPr>
      <w:r w:rsidRPr="00BD5AAF">
        <w:rPr>
          <w:color w:val="000000"/>
        </w:rPr>
        <w:t xml:space="preserve">Secretaría de Calidad en Salud &amp; Secretaría de Agricultura, Ganadería y Pesca. (2023). </w:t>
      </w:r>
      <w:r w:rsidRPr="00BD5AAF">
        <w:rPr>
          <w:i/>
          <w:iCs/>
          <w:color w:val="000000"/>
        </w:rPr>
        <w:t xml:space="preserve">Resolución Conjunta 33/2023: </w:t>
      </w:r>
      <w:proofErr w:type="spellStart"/>
      <w:r w:rsidRPr="00BD5AAF">
        <w:rPr>
          <w:i/>
          <w:iCs/>
          <w:color w:val="000000"/>
        </w:rPr>
        <w:t>Sustitúyese</w:t>
      </w:r>
      <w:proofErr w:type="spellEnd"/>
      <w:r w:rsidRPr="00BD5AAF">
        <w:rPr>
          <w:i/>
          <w:iCs/>
          <w:color w:val="000000"/>
        </w:rPr>
        <w:t xml:space="preserve"> el artículo 982 del Capítulo XII “Bebidas </w:t>
      </w:r>
      <w:r w:rsidRPr="00BD5AAF">
        <w:rPr>
          <w:i/>
          <w:iCs/>
          <w:color w:val="000000"/>
        </w:rPr>
        <w:lastRenderedPageBreak/>
        <w:t>hídricas, agua y agua gasificadas” del Código Alimentario Argentino</w:t>
      </w:r>
      <w:r w:rsidRPr="00BD5AAF">
        <w:rPr>
          <w:color w:val="000000"/>
        </w:rPr>
        <w:t>. Boletín Oficial de la República Argentina.</w:t>
      </w:r>
    </w:p>
    <w:p w14:paraId="092C40D1" w14:textId="3A8FF1C6" w:rsidR="00005284" w:rsidRPr="00005284" w:rsidRDefault="00005284" w:rsidP="00005284">
      <w:pPr>
        <w:spacing w:after="120"/>
        <w:ind w:left="425" w:hanging="425"/>
        <w:jc w:val="both"/>
        <w:rPr>
          <w:color w:val="000000"/>
        </w:rPr>
      </w:pPr>
      <w:proofErr w:type="spellStart"/>
      <w:r w:rsidRPr="00005284">
        <w:rPr>
          <w:color w:val="000000"/>
        </w:rPr>
        <w:t>Nicolli</w:t>
      </w:r>
      <w:proofErr w:type="spellEnd"/>
      <w:r w:rsidRPr="00005284">
        <w:rPr>
          <w:color w:val="000000"/>
        </w:rPr>
        <w:t xml:space="preserve">, H. B., </w:t>
      </w:r>
      <w:proofErr w:type="spellStart"/>
      <w:r w:rsidRPr="00005284">
        <w:rPr>
          <w:color w:val="000000"/>
        </w:rPr>
        <w:t>Bundschuh</w:t>
      </w:r>
      <w:proofErr w:type="spellEnd"/>
      <w:r w:rsidRPr="00005284">
        <w:rPr>
          <w:color w:val="000000"/>
        </w:rPr>
        <w:t xml:space="preserve">, J., Blanco, M. C., </w:t>
      </w:r>
      <w:proofErr w:type="spellStart"/>
      <w:r w:rsidRPr="00005284">
        <w:rPr>
          <w:color w:val="000000"/>
        </w:rPr>
        <w:t>Tujchneider</w:t>
      </w:r>
      <w:proofErr w:type="spellEnd"/>
      <w:r w:rsidRPr="00005284">
        <w:rPr>
          <w:color w:val="000000"/>
        </w:rPr>
        <w:t xml:space="preserve">, O., </w:t>
      </w:r>
      <w:proofErr w:type="spellStart"/>
      <w:r w:rsidRPr="00005284">
        <w:rPr>
          <w:color w:val="000000"/>
        </w:rPr>
        <w:t>Panarello</w:t>
      </w:r>
      <w:proofErr w:type="spellEnd"/>
      <w:r w:rsidRPr="00005284">
        <w:rPr>
          <w:color w:val="000000"/>
        </w:rPr>
        <w:t xml:space="preserve">, H. O., </w:t>
      </w:r>
      <w:proofErr w:type="spellStart"/>
      <w:r w:rsidRPr="00005284">
        <w:rPr>
          <w:color w:val="000000"/>
        </w:rPr>
        <w:t>Dapeña</w:t>
      </w:r>
      <w:proofErr w:type="spellEnd"/>
      <w:r w:rsidRPr="00005284">
        <w:rPr>
          <w:color w:val="000000"/>
        </w:rPr>
        <w:t xml:space="preserve">, C., &amp; </w:t>
      </w:r>
      <w:proofErr w:type="spellStart"/>
      <w:r w:rsidRPr="00005284">
        <w:rPr>
          <w:color w:val="000000"/>
        </w:rPr>
        <w:t>Rusansky</w:t>
      </w:r>
      <w:proofErr w:type="spellEnd"/>
      <w:r w:rsidRPr="00005284">
        <w:rPr>
          <w:color w:val="000000"/>
        </w:rPr>
        <w:t xml:space="preserve">, J. E. (2012). </w:t>
      </w:r>
      <w:r w:rsidRPr="00005284">
        <w:rPr>
          <w:color w:val="000000"/>
          <w:lang w:val="en-US"/>
        </w:rPr>
        <w:t>Arsenic and associated trace-elements in groundwater from the Chaco-</w:t>
      </w:r>
      <w:proofErr w:type="spellStart"/>
      <w:r w:rsidRPr="00005284">
        <w:rPr>
          <w:color w:val="000000"/>
          <w:lang w:val="en-US"/>
        </w:rPr>
        <w:t>Pampean</w:t>
      </w:r>
      <w:proofErr w:type="spellEnd"/>
      <w:r w:rsidRPr="00005284">
        <w:rPr>
          <w:color w:val="000000"/>
          <w:lang w:val="en-US"/>
        </w:rPr>
        <w:t xml:space="preserve"> plain, Argentina: Results from 100 years of research. </w:t>
      </w:r>
      <w:proofErr w:type="spellStart"/>
      <w:r w:rsidRPr="00005284">
        <w:rPr>
          <w:i/>
          <w:iCs/>
          <w:color w:val="000000"/>
        </w:rPr>
        <w:t>Science</w:t>
      </w:r>
      <w:proofErr w:type="spellEnd"/>
      <w:r w:rsidRPr="00005284">
        <w:rPr>
          <w:i/>
          <w:iCs/>
          <w:color w:val="000000"/>
        </w:rPr>
        <w:t xml:space="preserve"> </w:t>
      </w:r>
      <w:proofErr w:type="spellStart"/>
      <w:r w:rsidRPr="00005284">
        <w:rPr>
          <w:i/>
          <w:iCs/>
          <w:color w:val="000000"/>
        </w:rPr>
        <w:t>of</w:t>
      </w:r>
      <w:proofErr w:type="spellEnd"/>
      <w:r w:rsidRPr="00005284">
        <w:rPr>
          <w:i/>
          <w:iCs/>
          <w:color w:val="000000"/>
        </w:rPr>
        <w:t xml:space="preserve"> </w:t>
      </w:r>
      <w:proofErr w:type="spellStart"/>
      <w:r w:rsidRPr="00005284">
        <w:rPr>
          <w:i/>
          <w:iCs/>
          <w:color w:val="000000"/>
        </w:rPr>
        <w:t>the</w:t>
      </w:r>
      <w:proofErr w:type="spellEnd"/>
      <w:r w:rsidRPr="00005284">
        <w:rPr>
          <w:i/>
          <w:iCs/>
          <w:color w:val="000000"/>
        </w:rPr>
        <w:t xml:space="preserve"> Total </w:t>
      </w:r>
      <w:proofErr w:type="spellStart"/>
      <w:r w:rsidRPr="00005284">
        <w:rPr>
          <w:i/>
          <w:iCs/>
          <w:color w:val="000000"/>
        </w:rPr>
        <w:t>Environment</w:t>
      </w:r>
      <w:proofErr w:type="spellEnd"/>
      <w:r w:rsidRPr="00005284">
        <w:rPr>
          <w:i/>
          <w:iCs/>
          <w:color w:val="000000"/>
        </w:rPr>
        <w:t>, 429</w:t>
      </w:r>
      <w:r w:rsidRPr="00005284">
        <w:rPr>
          <w:color w:val="000000"/>
        </w:rPr>
        <w:t>, 36–56.</w:t>
      </w:r>
    </w:p>
    <w:p w14:paraId="01BF379E" w14:textId="77777777" w:rsidR="00005284" w:rsidRPr="00005284" w:rsidRDefault="00005284" w:rsidP="00005284">
      <w:pPr>
        <w:spacing w:after="120"/>
        <w:ind w:left="425" w:hanging="425"/>
        <w:jc w:val="both"/>
        <w:rPr>
          <w:color w:val="000000"/>
          <w:lang w:val="en-US"/>
        </w:rPr>
      </w:pPr>
      <w:r w:rsidRPr="00005284">
        <w:rPr>
          <w:color w:val="000000"/>
        </w:rPr>
        <w:t xml:space="preserve">Organización Mundial de la Salud. </w:t>
      </w:r>
      <w:r w:rsidRPr="00005284">
        <w:rPr>
          <w:color w:val="000000"/>
          <w:lang w:val="en-US"/>
        </w:rPr>
        <w:t xml:space="preserve">(2011). </w:t>
      </w:r>
      <w:r w:rsidRPr="00005284">
        <w:rPr>
          <w:i/>
          <w:iCs/>
          <w:color w:val="000000"/>
          <w:lang w:val="en-US"/>
        </w:rPr>
        <w:t>Guidelines for drinking-water quality</w:t>
      </w:r>
      <w:r w:rsidRPr="00005284">
        <w:rPr>
          <w:color w:val="000000"/>
          <w:lang w:val="en-US"/>
        </w:rPr>
        <w:t xml:space="preserve"> (4th ed.). World Health Organization.</w:t>
      </w:r>
    </w:p>
    <w:p w14:paraId="1FC569E3" w14:textId="77777777" w:rsidR="00005284" w:rsidRPr="00005284" w:rsidRDefault="00005284" w:rsidP="00005284">
      <w:pPr>
        <w:spacing w:after="120"/>
        <w:ind w:left="425" w:hanging="425"/>
        <w:jc w:val="both"/>
        <w:rPr>
          <w:color w:val="000000"/>
        </w:rPr>
      </w:pPr>
      <w:r w:rsidRPr="00005284">
        <w:rPr>
          <w:color w:val="000000"/>
          <w:lang w:val="en-US"/>
        </w:rPr>
        <w:t xml:space="preserve">Storniolo, A. del R., &amp; Martín, R. A. (s. f.). </w:t>
      </w:r>
      <w:r w:rsidRPr="00005284">
        <w:rPr>
          <w:i/>
          <w:iCs/>
          <w:color w:val="000000"/>
        </w:rPr>
        <w:t>El arsénico en Santiago del Estero, un problema real</w:t>
      </w:r>
      <w:r w:rsidRPr="00005284">
        <w:rPr>
          <w:color w:val="000000"/>
        </w:rPr>
        <w:t>.</w:t>
      </w:r>
    </w:p>
    <w:p w14:paraId="177733C9" w14:textId="77777777" w:rsidR="00073A32" w:rsidRDefault="00073A32" w:rsidP="00005284">
      <w:pPr>
        <w:spacing w:after="120"/>
        <w:ind w:left="425" w:hanging="425"/>
        <w:jc w:val="both"/>
      </w:pPr>
    </w:p>
    <w:sectPr w:rsidR="00073A32" w:rsidSect="00034616">
      <w:footerReference w:type="default" r:id="rId8"/>
      <w:pgSz w:w="11906" w:h="16838"/>
      <w:pgMar w:top="1417" w:right="1417" w:bottom="1417" w:left="1417"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9F6C7" w14:textId="77777777" w:rsidR="00701347" w:rsidRDefault="00701347">
      <w:pPr>
        <w:spacing w:after="0" w:line="240" w:lineRule="auto"/>
      </w:pPr>
      <w:r>
        <w:separator/>
      </w:r>
    </w:p>
  </w:endnote>
  <w:endnote w:type="continuationSeparator" w:id="0">
    <w:p w14:paraId="6C0E690D" w14:textId="77777777" w:rsidR="00701347" w:rsidRDefault="00701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E590A" w14:textId="77777777" w:rsidR="0048738B" w:rsidRDefault="000D318D">
    <w:pPr>
      <w:pStyle w:val="Piedepgina"/>
      <w:jc w:val="right"/>
    </w:pPr>
    <w:r>
      <w:fldChar w:fldCharType="begin"/>
    </w:r>
    <w:r>
      <w:instrText>PAGE</w:instrText>
    </w:r>
    <w:r>
      <w:fldChar w:fldCharType="separate"/>
    </w:r>
    <w:r w:rsidR="008A6F9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2611F" w14:textId="77777777" w:rsidR="00701347" w:rsidRDefault="00701347">
      <w:pPr>
        <w:spacing w:after="0" w:line="240" w:lineRule="auto"/>
      </w:pPr>
      <w:r>
        <w:separator/>
      </w:r>
    </w:p>
  </w:footnote>
  <w:footnote w:type="continuationSeparator" w:id="0">
    <w:p w14:paraId="71F6828A" w14:textId="77777777" w:rsidR="00701347" w:rsidRDefault="007013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D548DC70"/>
    <w:lvl w:ilvl="0">
      <w:start w:val="1"/>
      <w:numFmt w:val="bullet"/>
      <w:pStyle w:val="Listaconvietas"/>
      <w:lvlText w:val=""/>
      <w:lvlJc w:val="left"/>
      <w:pPr>
        <w:tabs>
          <w:tab w:val="num" w:pos="360"/>
        </w:tabs>
        <w:ind w:left="360" w:hanging="360"/>
      </w:pPr>
      <w:rPr>
        <w:rFonts w:ascii="Symbol" w:hAnsi="Symbol" w:hint="default"/>
      </w:rPr>
    </w:lvl>
  </w:abstractNum>
  <w:num w:numId="1" w16cid:durableId="308942938">
    <w:abstractNumId w:val="8"/>
  </w:num>
  <w:num w:numId="2" w16cid:durableId="1254893034">
    <w:abstractNumId w:val="6"/>
  </w:num>
  <w:num w:numId="3" w16cid:durableId="1531793736">
    <w:abstractNumId w:val="5"/>
  </w:num>
  <w:num w:numId="4" w16cid:durableId="851452109">
    <w:abstractNumId w:val="4"/>
  </w:num>
  <w:num w:numId="5" w16cid:durableId="1835338067">
    <w:abstractNumId w:val="7"/>
  </w:num>
  <w:num w:numId="6" w16cid:durableId="1502624480">
    <w:abstractNumId w:val="3"/>
  </w:num>
  <w:num w:numId="7" w16cid:durableId="264310952">
    <w:abstractNumId w:val="2"/>
  </w:num>
  <w:num w:numId="8" w16cid:durableId="1109548082">
    <w:abstractNumId w:val="1"/>
  </w:num>
  <w:num w:numId="9" w16cid:durableId="15010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96"/>
    <w:rsid w:val="00004096"/>
    <w:rsid w:val="00005284"/>
    <w:rsid w:val="00034616"/>
    <w:rsid w:val="00036454"/>
    <w:rsid w:val="0006063C"/>
    <w:rsid w:val="00064949"/>
    <w:rsid w:val="00073A32"/>
    <w:rsid w:val="000D318D"/>
    <w:rsid w:val="0015074B"/>
    <w:rsid w:val="00195862"/>
    <w:rsid w:val="00226B38"/>
    <w:rsid w:val="00266C6B"/>
    <w:rsid w:val="0029639D"/>
    <w:rsid w:val="00326F90"/>
    <w:rsid w:val="0035134A"/>
    <w:rsid w:val="00384217"/>
    <w:rsid w:val="0041646E"/>
    <w:rsid w:val="00460114"/>
    <w:rsid w:val="0048738B"/>
    <w:rsid w:val="00490B1F"/>
    <w:rsid w:val="0053467F"/>
    <w:rsid w:val="005542A1"/>
    <w:rsid w:val="005837CF"/>
    <w:rsid w:val="006C04D4"/>
    <w:rsid w:val="00701347"/>
    <w:rsid w:val="0072111E"/>
    <w:rsid w:val="008A6F9A"/>
    <w:rsid w:val="008C181A"/>
    <w:rsid w:val="008D09BA"/>
    <w:rsid w:val="008E3A1A"/>
    <w:rsid w:val="00922F6A"/>
    <w:rsid w:val="00A67464"/>
    <w:rsid w:val="00AA1D8D"/>
    <w:rsid w:val="00B457BB"/>
    <w:rsid w:val="00B47730"/>
    <w:rsid w:val="00B6750B"/>
    <w:rsid w:val="00BD5AAF"/>
    <w:rsid w:val="00C21A28"/>
    <w:rsid w:val="00C937ED"/>
    <w:rsid w:val="00CB0664"/>
    <w:rsid w:val="00D74F82"/>
    <w:rsid w:val="00E63F28"/>
    <w:rsid w:val="00F00A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3EF422"/>
  <w14:defaultImageDpi w14:val="300"/>
  <w15:docId w15:val="{53BED63C-6B40-4A2C-B5A8-EF026F75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60" w:lineRule="auto"/>
    </w:pPr>
    <w:rPr>
      <w:rFonts w:ascii="Times New Roman" w:eastAsia="Times New Roman" w:hAnsi="Times New Roman"/>
      <w:sz w:val="24"/>
      <w:lang w:val="es-AR"/>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9727">
      <w:bodyDiv w:val="1"/>
      <w:marLeft w:val="0"/>
      <w:marRight w:val="0"/>
      <w:marTop w:val="0"/>
      <w:marBottom w:val="0"/>
      <w:divBdr>
        <w:top w:val="none" w:sz="0" w:space="0" w:color="auto"/>
        <w:left w:val="none" w:sz="0" w:space="0" w:color="auto"/>
        <w:bottom w:val="none" w:sz="0" w:space="0" w:color="auto"/>
        <w:right w:val="none" w:sz="0" w:space="0" w:color="auto"/>
      </w:divBdr>
    </w:div>
    <w:div w:id="237136588">
      <w:bodyDiv w:val="1"/>
      <w:marLeft w:val="0"/>
      <w:marRight w:val="0"/>
      <w:marTop w:val="0"/>
      <w:marBottom w:val="0"/>
      <w:divBdr>
        <w:top w:val="none" w:sz="0" w:space="0" w:color="auto"/>
        <w:left w:val="none" w:sz="0" w:space="0" w:color="auto"/>
        <w:bottom w:val="none" w:sz="0" w:space="0" w:color="auto"/>
        <w:right w:val="none" w:sz="0" w:space="0" w:color="auto"/>
      </w:divBdr>
    </w:div>
    <w:div w:id="478963067">
      <w:bodyDiv w:val="1"/>
      <w:marLeft w:val="0"/>
      <w:marRight w:val="0"/>
      <w:marTop w:val="0"/>
      <w:marBottom w:val="0"/>
      <w:divBdr>
        <w:top w:val="none" w:sz="0" w:space="0" w:color="auto"/>
        <w:left w:val="none" w:sz="0" w:space="0" w:color="auto"/>
        <w:bottom w:val="none" w:sz="0" w:space="0" w:color="auto"/>
        <w:right w:val="none" w:sz="0" w:space="0" w:color="auto"/>
      </w:divBdr>
    </w:div>
    <w:div w:id="515967075">
      <w:bodyDiv w:val="1"/>
      <w:marLeft w:val="0"/>
      <w:marRight w:val="0"/>
      <w:marTop w:val="0"/>
      <w:marBottom w:val="0"/>
      <w:divBdr>
        <w:top w:val="none" w:sz="0" w:space="0" w:color="auto"/>
        <w:left w:val="none" w:sz="0" w:space="0" w:color="auto"/>
        <w:bottom w:val="none" w:sz="0" w:space="0" w:color="auto"/>
        <w:right w:val="none" w:sz="0" w:space="0" w:color="auto"/>
      </w:divBdr>
    </w:div>
    <w:div w:id="556861670">
      <w:bodyDiv w:val="1"/>
      <w:marLeft w:val="0"/>
      <w:marRight w:val="0"/>
      <w:marTop w:val="0"/>
      <w:marBottom w:val="0"/>
      <w:divBdr>
        <w:top w:val="none" w:sz="0" w:space="0" w:color="auto"/>
        <w:left w:val="none" w:sz="0" w:space="0" w:color="auto"/>
        <w:bottom w:val="none" w:sz="0" w:space="0" w:color="auto"/>
        <w:right w:val="none" w:sz="0" w:space="0" w:color="auto"/>
      </w:divBdr>
    </w:div>
    <w:div w:id="703558065">
      <w:bodyDiv w:val="1"/>
      <w:marLeft w:val="0"/>
      <w:marRight w:val="0"/>
      <w:marTop w:val="0"/>
      <w:marBottom w:val="0"/>
      <w:divBdr>
        <w:top w:val="none" w:sz="0" w:space="0" w:color="auto"/>
        <w:left w:val="none" w:sz="0" w:space="0" w:color="auto"/>
        <w:bottom w:val="none" w:sz="0" w:space="0" w:color="auto"/>
        <w:right w:val="none" w:sz="0" w:space="0" w:color="auto"/>
      </w:divBdr>
    </w:div>
    <w:div w:id="714159480">
      <w:bodyDiv w:val="1"/>
      <w:marLeft w:val="0"/>
      <w:marRight w:val="0"/>
      <w:marTop w:val="0"/>
      <w:marBottom w:val="0"/>
      <w:divBdr>
        <w:top w:val="none" w:sz="0" w:space="0" w:color="auto"/>
        <w:left w:val="none" w:sz="0" w:space="0" w:color="auto"/>
        <w:bottom w:val="none" w:sz="0" w:space="0" w:color="auto"/>
        <w:right w:val="none" w:sz="0" w:space="0" w:color="auto"/>
      </w:divBdr>
    </w:div>
    <w:div w:id="1097797331">
      <w:bodyDiv w:val="1"/>
      <w:marLeft w:val="0"/>
      <w:marRight w:val="0"/>
      <w:marTop w:val="0"/>
      <w:marBottom w:val="0"/>
      <w:divBdr>
        <w:top w:val="none" w:sz="0" w:space="0" w:color="auto"/>
        <w:left w:val="none" w:sz="0" w:space="0" w:color="auto"/>
        <w:bottom w:val="none" w:sz="0" w:space="0" w:color="auto"/>
        <w:right w:val="none" w:sz="0" w:space="0" w:color="auto"/>
      </w:divBdr>
    </w:div>
    <w:div w:id="1443264176">
      <w:bodyDiv w:val="1"/>
      <w:marLeft w:val="0"/>
      <w:marRight w:val="0"/>
      <w:marTop w:val="0"/>
      <w:marBottom w:val="0"/>
      <w:divBdr>
        <w:top w:val="none" w:sz="0" w:space="0" w:color="auto"/>
        <w:left w:val="none" w:sz="0" w:space="0" w:color="auto"/>
        <w:bottom w:val="none" w:sz="0" w:space="0" w:color="auto"/>
        <w:right w:val="none" w:sz="0" w:space="0" w:color="auto"/>
      </w:divBdr>
    </w:div>
    <w:div w:id="1734355280">
      <w:bodyDiv w:val="1"/>
      <w:marLeft w:val="0"/>
      <w:marRight w:val="0"/>
      <w:marTop w:val="0"/>
      <w:marBottom w:val="0"/>
      <w:divBdr>
        <w:top w:val="none" w:sz="0" w:space="0" w:color="auto"/>
        <w:left w:val="none" w:sz="0" w:space="0" w:color="auto"/>
        <w:bottom w:val="none" w:sz="0" w:space="0" w:color="auto"/>
        <w:right w:val="none" w:sz="0" w:space="0" w:color="auto"/>
      </w:divBdr>
    </w:div>
    <w:div w:id="17508076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11</Pages>
  <Words>3832</Words>
  <Characters>21078</Characters>
  <Application>Microsoft Office Word</Application>
  <DocSecurity>0</DocSecurity>
  <Lines>175</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USUARIO</cp:lastModifiedBy>
  <cp:revision>4</cp:revision>
  <dcterms:created xsi:type="dcterms:W3CDTF">2026-06-26T03:12:00Z</dcterms:created>
  <dcterms:modified xsi:type="dcterms:W3CDTF">2026-06-29T01:50:00Z</dcterms:modified>
  <cp:category/>
</cp:coreProperties>
</file>